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HENSON HEIDI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KORSANA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203 CRESCENT STREET, SUITE 503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Korsana Biosciences, Inc.</w:t>
              </w:r>
            </w:hyperlink>
            <w:r>
              <w:rPr/>
              <w:t xml:space="preserve"> [ </w:t>
            </w:r>
            <w:r>
              <w:rPr>
                <w:rFonts w:ascii="Times;serif" w:hAnsi="Times;serif"/>
                <w:color w:val="0000FF"/>
                <w:sz w:val="24"/>
                <w:shd w:fill="FFFFFF" w:val="clear"/>
              </w:rPr>
              <w:t>KRSA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100,994</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"Effective Time"), (i) Cariboos Merger Sub Corp., a wholly owned subsidiary of Cyclerion Therapeutics, Inc. ("Cyclerion"), merged with and into Korsana Biosciences, Inc. ("Pre-Merger Korsana"), with Pre-Merger Korsana continuing as a wholly owned subsidiary of Cyclerion and the surviving corporation of the merger (the "First Merger"), and (ii) immediately thereafter, Pre-Merger Korsana merged with and into Cariboos Merger Sub II, LLC, a second wholly owned subsidiary of Cyclerion ("Second Merger Sub"), with Second Merger Sub being the surviving entity of the merger under the name Korsana Biosciences Operating Company, LLC (the "Second Merger" and, together with the First Merger, the "Merger"). At the Effective Time, Cyclerion changed its name to "Korsana Biosciences, Inc." (hereinafter,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options to purchase shares of the Issuer's common stock received by the Reporting Person in the Merger in exchange for options of Pre-Merger Korsana held by the Reporting Person prior to the Merger. This option vests in 36 equal monthly installments following June 18, 2026, through June 18, 2029, subject to the Reporting Person's continued service to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Vignola, as attorney-in-fact for Heidi Henson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55237-ex24.htm"/>
      <w:bookmarkStart w:id="3" w:name="ksck0001755237ex24"/>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Mark Vignola, Kyle Breidenstine, Ryan A. Murr and Branden Berns, and any of their substitutes, signing singly, as the undersigned’s true and lawful attorney-in-fact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execute for and on behalf of the undersigned, in the undersigned’s capacity as a director and/or officer of Korsana Biosciences, Inc. (the “Company”), Forms 3, 4, and 5 in accordance with Section 16(a) of the Securities Exchange Act of 1934, as amended, and the rules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securities exchange or similar authority;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such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Power of Attorney shall remain in full force and effect until the earliest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its subsidiaries or Gibson, Dunn &amp; Crutcher LLP, as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September 8, 2026.</w:t>
      </w:r>
    </w:p>
    <w:p>
      <w:pPr>
        <w:pStyle w:val="TextBody"/>
        <w:bidi w:val="0"/>
        <w:jc w:val="left"/>
        <w:rPr/>
      </w:pPr>
      <w:r>
        <w:rPr/>
        <w:t> </w:t>
      </w:r>
    </w:p>
    <w:p>
      <w:pPr>
        <w:pStyle w:val="TextBody"/>
        <w:bidi w:val="0"/>
        <w:jc w:val="left"/>
        <w:rPr/>
      </w:pPr>
      <w:r>
        <w:rPr/>
        <w:t> </w:t>
      </w:r>
    </w:p>
    <w:tbl>
      <w:tblPr>
        <w:tblW w:w="1662" w:type="dxa"/>
        <w:jc w:val="left"/>
        <w:tblInd w:w="0" w:type="dxa"/>
        <w:tblLayout w:type="fixed"/>
        <w:tblCellMar>
          <w:top w:w="28" w:type="dxa"/>
          <w:left w:w="28" w:type="dxa"/>
          <w:bottom w:w="28" w:type="dxa"/>
          <w:right w:w="28" w:type="dxa"/>
        </w:tblCellMar>
      </w:tblPr>
      <w:tblGrid>
        <w:gridCol w:w="161"/>
        <w:gridCol w:w="1501"/>
      </w:tblGrid>
      <w:tr>
        <w:trPr/>
        <w:tc>
          <w:tcPr>
            <w:tcW w:w="16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Heidi Henson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Heidi Henson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83301" TargetMode="External"/><Relationship Id="rId3" Type="http://schemas.openxmlformats.org/officeDocument/2006/relationships/hyperlink" Target="http://www.sec.gov/cgi-bin/browse-edgar?action=getcompany&amp;CIK=000175523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1120</Words>
  <Characters>6026</Characters>
  <CharactersWithSpaces>7086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