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Korsana Biosciences,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09/09/2026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Wellington Biomedical Innovation Master Investors (Cayman) II, L.P.</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2,775,788.00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2,775,788.00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2,775,788.00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6.1 %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979"/>
        <w:gridCol w:w="9071"/>
        <w:gridCol w:w="155"/>
      </w:tblGrid>
      <w:tr>
        <w:trPr/>
        <w:tc>
          <w:tcPr>
            <w:tcW w:w="979" w:type="dxa"/>
            <w:tcBorders/>
            <w:vAlign w:val="center"/>
          </w:tcPr>
          <w:p>
            <w:pPr>
              <w:pStyle w:val="TableContents"/>
              <w:bidi w:val="0"/>
              <w:spacing w:before="0" w:after="283"/>
              <w:jc w:val="left"/>
              <w:rPr/>
            </w:pPr>
            <w:r>
              <w:rPr/>
              <w:t>Item 1.</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issuer: </w:t>
            </w:r>
          </w:p>
          <w:p>
            <w:pPr>
              <w:pStyle w:val="TableContents"/>
              <w:bidi w:val="0"/>
              <w:spacing w:before="0" w:after="0"/>
              <w:jc w:val="left"/>
              <w:rPr/>
            </w:pPr>
            <w:r>
              <w:rPr/>
              <w:t>Korsana Biosciences, Inc.</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221 Crescent St, Building 23, Suite 105, Waltham MA</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2.</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person filing: </w:t>
            </w:r>
          </w:p>
          <w:p>
            <w:pPr>
              <w:pStyle w:val="TableContents"/>
              <w:bidi w:val="0"/>
              <w:spacing w:before="0" w:after="0"/>
              <w:jc w:val="left"/>
              <w:rPr/>
            </w:pPr>
            <w:r>
              <w:rPr/>
              <w:t>Wellington Biomedical Innovation Master Investors (Cayman) II, L.P.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c/o Wellington Management Company LLP, 280 Congress Street, Boston MA 02210</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jc w:val="left"/>
              <w:rPr/>
            </w:pPr>
            <w:r>
              <w:rPr/>
              <w:t xml:space="preserve">Citizenship: </w:t>
            </w:r>
          </w:p>
          <w:p>
            <w:pPr>
              <w:pStyle w:val="TableContents"/>
              <w:bidi w:val="0"/>
              <w:spacing w:before="0" w:after="0"/>
              <w:jc w:val="left"/>
              <w:rPr/>
            </w:pPr>
            <w:r>
              <w:rPr/>
              <w:t>Cayman Islands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3.</w:t>
            </w:r>
          </w:p>
        </w:tc>
        <w:tc>
          <w:tcPr>
            <w:tcW w:w="907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(f)</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(g)</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(h)</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(j)</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(k)</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226" w:type="dxa"/>
            <w:gridSpan w:val="2"/>
            <w:tcBorders/>
            <w:vAlign w:val="center"/>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4.</w:t>
            </w:r>
          </w:p>
        </w:tc>
        <w:tc>
          <w:tcPr>
            <w:tcW w:w="907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2,775,788</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6.10  %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2,775,788</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2,775,788</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5.</w:t>
            </w:r>
          </w:p>
        </w:tc>
        <w:tc>
          <w:tcPr>
            <w:tcW w:w="907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6.</w:t>
            </w:r>
          </w:p>
        </w:tc>
        <w:tc>
          <w:tcPr>
            <w:tcW w:w="907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7.</w:t>
            </w:r>
          </w:p>
        </w:tc>
        <w:tc>
          <w:tcPr>
            <w:tcW w:w="907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8.</w:t>
            </w:r>
          </w:p>
        </w:tc>
        <w:tc>
          <w:tcPr>
            <w:tcW w:w="907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9.</w:t>
            </w:r>
          </w:p>
        </w:tc>
        <w:tc>
          <w:tcPr>
            <w:tcW w:w="907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10205" w:type="dxa"/>
        <w:jc w:val="left"/>
        <w:tblInd w:w="0" w:type="dxa"/>
        <w:tblLayout w:type="fixed"/>
        <w:tblCellMar>
          <w:top w:w="28" w:type="dxa"/>
          <w:left w:w="28" w:type="dxa"/>
          <w:bottom w:w="28" w:type="dxa"/>
          <w:right w:w="28" w:type="dxa"/>
        </w:tblCellMar>
      </w:tblPr>
      <w:tblGrid>
        <w:gridCol w:w="5277"/>
        <w:gridCol w:w="4928"/>
      </w:tblGrid>
      <w:tr>
        <w:trPr/>
        <w:tc>
          <w:tcPr>
            <w:tcW w:w="5277" w:type="dxa"/>
            <w:tcBorders/>
            <w:vAlign w:val="center"/>
          </w:tcPr>
          <w:p>
            <w:pPr>
              <w:pStyle w:val="TableContents"/>
              <w:bidi w:val="0"/>
              <w:spacing w:before="0" w:after="0"/>
              <w:jc w:val="left"/>
              <w:rPr/>
            </w:pPr>
            <w:r>
              <w:rPr/>
              <w:t> </w:t>
            </w:r>
          </w:p>
          <w:tbl>
            <w:tblPr>
              <w:tblW w:w="6796" w:type="dxa"/>
              <w:jc w:val="left"/>
              <w:tblInd w:w="0" w:type="dxa"/>
              <w:tblLayout w:type="fixed"/>
              <w:tblCellMar>
                <w:top w:w="28" w:type="dxa"/>
                <w:left w:w="28" w:type="dxa"/>
                <w:bottom w:w="28" w:type="dxa"/>
                <w:right w:w="28" w:type="dxa"/>
              </w:tblCellMar>
            </w:tblPr>
            <w:tblGrid>
              <w:gridCol w:w="6796"/>
            </w:tblGrid>
            <w:tr>
              <w:trPr/>
              <w:tc>
                <w:tcPr>
                  <w:tcW w:w="6796" w:type="dxa"/>
                  <w:tcBorders/>
                  <w:vAlign w:val="center"/>
                </w:tcPr>
                <w:p>
                  <w:pPr>
                    <w:pStyle w:val="TableContents"/>
                    <w:bidi w:val="0"/>
                    <w:spacing w:before="0" w:after="0"/>
                    <w:jc w:val="left"/>
                    <w:rPr/>
                  </w:pPr>
                  <w:r>
                    <w:rPr/>
                    <w:t>Wellington Biomedical Innovation Master Investors (Cayman) II, L.P.</w:t>
                  </w:r>
                </w:p>
              </w:tc>
            </w:tr>
          </w:tbl>
          <w:p>
            <w:pPr>
              <w:pStyle w:val="TableContents"/>
              <w:bidi w:val="0"/>
              <w:spacing w:before="0" w:after="283"/>
              <w:jc w:val="left"/>
              <w:rPr/>
            </w:pPr>
            <w:r>
              <w:rPr/>
            </w:r>
          </w:p>
        </w:tc>
        <w:tc>
          <w:tcPr>
            <w:tcW w:w="492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10"/>
        <w:gridCol w:w="4295"/>
      </w:tblGrid>
      <w:tr>
        <w:trPr/>
        <w:tc>
          <w:tcPr>
            <w:tcW w:w="591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Ihsan Speede</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Authorized Person</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09/16/2026</w:t>
                  </w:r>
                </w:p>
              </w:tc>
            </w:tr>
          </w:tbl>
          <w:p>
            <w:pPr>
              <w:pStyle w:val="TableContents"/>
              <w:bidi w:val="0"/>
              <w:spacing w:before="0" w:after="283"/>
              <w:jc w:val="left"/>
              <w:rPr/>
            </w:pPr>
            <w:r>
              <w:rPr/>
            </w:r>
          </w:p>
        </w:tc>
        <w:tc>
          <w:tcPr>
            <w:tcW w:w="429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xml:space="preserve">   Wellington Alternative Investments LLC; Its General Partner Signature: Ihsan Speede Name/Title: Authorized Person Date: 09/16/2026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741</Words>
  <Characters>3948</Characters>
  <CharactersWithSpaces>4682</CharactersWithSpaces>
  <Paragraphs>161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