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6079ddef14a.htm"/>
        <w:bookmarkStart w:id="1" w:name="ksd36079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Rule 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October 15, 2026 </w:t>
      </w:r>
    </w:p>
    <w:p>
      <w:pPr>
        <w:pStyle w:val="TextBody"/>
        <w:bidi w:val="0"/>
        <w:spacing w:before="240" w:after="0"/>
        <w:jc w:val="left"/>
        <w:rPr>
          <w:rFonts w:ascii="Times New Roman" w:hAnsi="Times New Roman"/>
          <w:sz w:val="20"/>
        </w:rPr>
      </w:pPr>
      <w:r>
        <w:rPr>
          <w:rFonts w:ascii="Times New Roman" w:hAnsi="Times New Roman"/>
          <w:sz w:val="20"/>
        </w:rPr>
        <w:t xml:space="preserve">Dear Shareholders: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attend a special meeting of shareholders (the “Special Meeting”) of Korsana Biosciences, Inc., a Massachusetts corporation (“Korsana” or the “Company”), to be held on November 13, 2026 at 10:30 a.m., Eastern Time. The Special Meeting will be held exclusively online via live webcast. You will be able to attend and participate in the Special Meeting, vote your shares electronically and submit questions during the meeting by visiting www.proxydocs.com/KRSA. There will be no physical location for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On September 8, 2026, we completed our previously announced merger transaction (the “Merger”) contemplated by the Agreement and Plan of Merger and Reorganization, dated as of April 1, 2026, as amended on April 17, 2026, among Cyclerion Therapeutics, Inc., Korsana Biosciences, Inc., then a privately held Delaware corporation (“Legacy Korsana”), Cariboos Merger Sub Corp. and Cariboos Merger Sub II, LLC. In connection with the closing of the Merger, we changed our name from “Cyclerion Therapeutics, Inc.” to “Korsana Biosciences, Inc.,” and our common stock began trading on the Nasdaq Capital Market under the ticker symbol “KRSA” on 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of shareholders of Cyclerion Therapeutics, Inc. held on August 26, 2026, shareholders were asked to approve the redomestication of the Company from the Commonwealth of Massachusetts to the Cayman Islands (the “Redomestication”). The Redomestication received the support of a substantial majority of the votes cast at that meeting, approximately 61.8%. However, Massachusetts law requires that the domestication be approved by not less than two-thirds of all shares entitled to vote on the matter, whether or not those shares are voted. Because of overall voter turnout at that meeting, the Redomestication proposal received the affirmative vote of fewer than two-thirds of all shares entitled to vote on the matter and the affirmative votes also fell short of the two-thirds of the votes properly cast required to approve the redomestication by way of continuation into the Cayman Islands as a special resolution. The proposal therefore was not approved, and the Redomestication was not effected.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(the “Board”) continues to believe that the Redomestication is advisable and in the best interests of the Company and its shareholders, for the reasons described in the accompanying proxy statement (the “Proxy Statement”). Accordingly, the Board has called the Special Meeting to resubmit the Redomestication to shareholders for approval.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you will be asked to consider and vote upon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redomestication of the Company from the Commonwealth of Massachusetts to the Cayman Islands by domestication pursuant to the Massachusetts Business Corporation Act and to adopt the resolutions of the Board approving the Redomestication (the “Domestication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(i) the redomestication of the Company from the Commonwealth of Massachusetts to the Cayman Islands by way of continuation pursuant to the Companies Act (As Revised) of the Cayman Islands and the resolutions of the Board approving the Redomestication and (ii) as a special resolution for the purposes of Cayman Islands law, the adoption of the memorandum and articles of association of the Company (the “Continuation and Cayman Articles Proposal” or “Proposal No. 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one or more adjournments of the Special Meeting, if necessary, to solicit additional proxies if there is not a sufficient number of votes in favor of Proposal Nos. 1 and 2 (the “Adjournment Proposal” or “Proposal No. 3”).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Nos. 1 and 2 together comprise the “Redomestication Proposal.” The Redomestication will not be effected unless both Proposal No. 1 and Proposal No. 2 are approved by the requisite shareholder votes. The Redomestication is not conditioned upon the completion of any other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the Redomestication Proposal is approved and the Redomestication is effected, the Company will remain the same legal entity and will continue its existence as an exempted company limited by shares incorporated under the laws of the Cayman Islands. Each outstanding share of the Company’s common stock will be automatically converted into one ordinary share of the Cayman Islands company by operation of law, without any exchange of certificates or any other action on the part of shareholders. The Redomestication will not result in any change in the Company’s business, management, offices, assets or liabilities, and the Company’s ordinary shares will continue to be listed on the Nasdaq Capital Market under the ticker symbol “KRSA.” </w:t>
      </w:r>
    </w:p>
    <w:p>
      <w:pPr>
        <w:pStyle w:val="TextBody"/>
        <w:bidi w:val="0"/>
        <w:spacing w:before="240" w:after="0"/>
        <w:jc w:val="left"/>
        <w:rPr>
          <w:rFonts w:ascii="Times New Roman" w:hAnsi="Times New Roman"/>
          <w:b/>
          <w:sz w:val="20"/>
        </w:rPr>
      </w:pPr>
      <w:r>
        <w:rPr>
          <w:rFonts w:ascii="Times New Roman" w:hAnsi="Times New Roman"/>
          <w:b/>
          <w:sz w:val="20"/>
        </w:rPr>
        <w:t xml:space="preserve">AFTER CAREFUL CONSIDERATION, THE BOARD HAS UNANIMOUSLY DETERMINED THAT EACH OF THE PROPOSALS DESCRIBED IN THE PROXY STATEMENT IS ADVISABLE AND IN THE BEST INTERESTS OF THE COMPANY AND ITS SHAREHOLDERS. THE BOARD UNANIMOUSLY RECOMMENDS THAT YOU VOTE “FOR” EACH OF PROPOSAL NO. 1, PROPOSAL NO. 2 AND PROPOSAL NO. 3. </w:t>
      </w:r>
    </w:p>
    <w:p>
      <w:pPr>
        <w:pStyle w:val="TextBody"/>
        <w:bidi w:val="0"/>
        <w:spacing w:before="240" w:after="0"/>
        <w:jc w:val="left"/>
        <w:rPr>
          <w:rFonts w:ascii="Times New Roman" w:hAnsi="Times New Roman"/>
          <w:sz w:val="20"/>
        </w:rPr>
      </w:pPr>
      <w:r>
        <w:rPr>
          <w:rFonts w:ascii="Times New Roman" w:hAnsi="Times New Roman"/>
          <w:sz w:val="20"/>
        </w:rPr>
        <w:t xml:space="preserve">Your vote is very important, regardless of the number of shares you own. Approval of Proposal No. 1 requires the affirmative vote of not less than two-thirds of all shares entitled to vote on the matter. </w:t>
      </w:r>
      <w:r>
        <w:rPr>
          <w:rFonts w:ascii="Times New Roman" w:hAnsi="Times New Roman"/>
          <w:b/>
          <w:sz w:val="20"/>
        </w:rPr>
        <w:t>As a result, if you abstain or fail to vote, or if you hold your shares through a broker, bank or other nominee and do not instruct your broker, bank or other nominee how to vote, it will have the same effect as a vote “AGAINST” Proposal No.</w:t>
      </w:r>
      <w:r>
        <w:rPr>
          <w:rFonts w:ascii="Times New Roman" w:hAnsi="Times New Roman"/>
          <w:sz w:val="20"/>
        </w:rPr>
        <w:t> </w:t>
      </w:r>
      <w:r>
        <w:rPr>
          <w:rFonts w:ascii="Times New Roman" w:hAnsi="Times New Roman"/>
          <w:b/>
          <w:sz w:val="20"/>
        </w:rPr>
        <w:t>1.</w:t>
      </w:r>
      <w:r>
        <w:rPr>
          <w:rFonts w:ascii="Times New Roman" w:hAnsi="Times New Roman"/>
          <w:sz w:val="20"/>
        </w:rPr>
        <w:t xml:space="preserve"> This is the standard that was not satisfied at the August 26, 2026 meeting. Whether or not you plan to attend the Special Meeting, we urge you to vote as promptly as possible over the Internet or by telephone, or by completing, signing, dating and returning your proxy card, so that your shares are represented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Only shareholders of record at the close of business on October 7, 2026, the record date for the Special Meeting, are entitled to notice of, and to vote at, the Special Meeting and any adjournments or postponements thereof.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thank you for your continued support of 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Jonathan Violin, Ph.D. </w:t>
      </w:r>
    </w:p>
    <w:p>
      <w:pPr>
        <w:pStyle w:val="TextBody"/>
        <w:bidi w:val="0"/>
        <w:spacing w:before="24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Waltham, Massachusetts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203 Crescent Street, Bldgs. #3/3A/4, Suite 503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Massachusetts 02453 </w:t>
      </w:r>
    </w:p>
    <w:p>
      <w:pPr>
        <w:pStyle w:val="TextBody"/>
        <w:bidi w:val="0"/>
        <w:spacing w:before="120" w:after="0"/>
        <w:jc w:val="center"/>
        <w:rPr>
          <w:rFonts w:ascii="Times New Roman" w:hAnsi="Times New Roman"/>
          <w:b/>
          <w:sz w:val="20"/>
        </w:rPr>
      </w:pPr>
      <w:bookmarkStart w:id="2" w:name="tx36079_1"/>
      <w:bookmarkEnd w:id="2"/>
      <w:r>
        <w:rPr>
          <w:rFonts w:ascii="Times New Roman" w:hAnsi="Times New Roman"/>
          <w:b/>
          <w:sz w:val="20"/>
        </w:rPr>
        <w:t xml:space="preserve">NOTICE OF SPECIAL MEETING OF SHAREHOLDERS </w:t>
      </w:r>
    </w:p>
    <w:p>
      <w:pPr>
        <w:pStyle w:val="TextBody"/>
        <w:bidi w:val="0"/>
        <w:spacing w:before="120" w:after="0"/>
        <w:jc w:val="center"/>
        <w:rPr>
          <w:rFonts w:ascii="Times New Roman" w:hAnsi="Times New Roman"/>
          <w:b/>
          <w:sz w:val="20"/>
        </w:rPr>
      </w:pPr>
      <w:r>
        <w:rPr>
          <w:rFonts w:ascii="Times New Roman" w:hAnsi="Times New Roman"/>
          <w:b/>
          <w:sz w:val="20"/>
        </w:rPr>
        <w:t xml:space="preserve">To Be Held On November 13, 2026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shareholders (the “Special Meeting”) of Korsana Biosciences, Inc., a Massachusetts corporation (the “Company”), will be held on November 13, 2026 at 10:30 a.m., Eastern Time. The Special Meeting will be held exclusively online via live webcast at www.proxydocs.com/KRSA. There will be no physical location for the Special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8"/>
        <w:gridCol w:w="204"/>
        <w:gridCol w:w="7043"/>
      </w:tblGrid>
      <w:tr>
        <w:trPr/>
        <w:tc>
          <w:tcPr>
            <w:tcW w:w="295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283"/>
              <w:jc w:val="left"/>
              <w:rPr>
                <w:b/>
              </w:rPr>
            </w:pPr>
            <w:r>
              <w:rPr>
                <w:b/>
              </w:rPr>
              <w:t>TIME AND DATE</w:t>
            </w:r>
          </w:p>
        </w:tc>
        <w:tc>
          <w:tcPr>
            <w:tcW w:w="204"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10:30 am., Eastern Time, on November 13, 2026</w:t>
            </w:r>
          </w:p>
        </w:tc>
      </w:tr>
      <w:tr>
        <w:trPr>
          <w:trHeight w:val="120" w:hRule="atLeast"/>
        </w:trPr>
        <w:tc>
          <w:tcPr>
            <w:tcW w:w="2958" w:type="dxa"/>
            <w:tcBorders/>
            <w:vAlign w:val="center"/>
          </w:tcPr>
          <w:p>
            <w:pPr>
              <w:pStyle w:val="TableContents"/>
              <w:bidi w:val="0"/>
              <w:spacing w:before="0" w:after="283"/>
              <w:jc w:val="left"/>
              <w:rPr>
                <w:sz w:val="4"/>
                <w:szCs w:val="4"/>
              </w:rPr>
            </w:pPr>
            <w:r>
              <w:rPr>
                <w:sz w:val="4"/>
                <w:szCs w:val="4"/>
              </w:rPr>
            </w:r>
          </w:p>
        </w:tc>
        <w:tc>
          <w:tcPr>
            <w:tcW w:w="7247" w:type="dxa"/>
            <w:gridSpan w:val="2"/>
            <w:tcBorders/>
            <w:vAlign w:val="center"/>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283"/>
              <w:jc w:val="left"/>
              <w:rPr>
                <w:b/>
              </w:rPr>
            </w:pPr>
            <w:r>
              <w:rPr>
                <w:b/>
              </w:rPr>
              <w:t>PLACE</w:t>
            </w:r>
          </w:p>
        </w:tc>
        <w:tc>
          <w:tcPr>
            <w:tcW w:w="204"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Exclusively online via live webcast at www.proxydocs.com/KRSA. There will be no physical location for the Special Meeting.</w:t>
            </w:r>
          </w:p>
        </w:tc>
      </w:tr>
      <w:tr>
        <w:trPr>
          <w:trHeight w:val="120" w:hRule="atLeast"/>
        </w:trPr>
        <w:tc>
          <w:tcPr>
            <w:tcW w:w="2958" w:type="dxa"/>
            <w:tcBorders/>
            <w:vAlign w:val="center"/>
          </w:tcPr>
          <w:p>
            <w:pPr>
              <w:pStyle w:val="TableContents"/>
              <w:bidi w:val="0"/>
              <w:spacing w:before="0" w:after="283"/>
              <w:jc w:val="left"/>
              <w:rPr>
                <w:sz w:val="4"/>
                <w:szCs w:val="4"/>
              </w:rPr>
            </w:pPr>
            <w:r>
              <w:rPr>
                <w:sz w:val="4"/>
                <w:szCs w:val="4"/>
              </w:rPr>
            </w:r>
          </w:p>
        </w:tc>
        <w:tc>
          <w:tcPr>
            <w:tcW w:w="7247" w:type="dxa"/>
            <w:gridSpan w:val="2"/>
            <w:tcBorders/>
            <w:vAlign w:val="center"/>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283"/>
              <w:jc w:val="left"/>
              <w:rPr>
                <w:b/>
              </w:rPr>
            </w:pPr>
            <w:r>
              <w:rPr>
                <w:b/>
              </w:rPr>
              <w:t>ITEMS OF BUSINESS</w:t>
            </w:r>
          </w:p>
        </w:tc>
        <w:tc>
          <w:tcPr>
            <w:tcW w:w="204"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To consider and vote upon the three proposals described below and in the accompanying Proxy Statement.</w:t>
            </w:r>
          </w:p>
        </w:tc>
      </w:tr>
      <w:tr>
        <w:trPr>
          <w:trHeight w:val="120" w:hRule="atLeast"/>
        </w:trPr>
        <w:tc>
          <w:tcPr>
            <w:tcW w:w="2958" w:type="dxa"/>
            <w:tcBorders/>
            <w:vAlign w:val="center"/>
          </w:tcPr>
          <w:p>
            <w:pPr>
              <w:pStyle w:val="TableContents"/>
              <w:bidi w:val="0"/>
              <w:spacing w:before="0" w:after="283"/>
              <w:jc w:val="left"/>
              <w:rPr>
                <w:sz w:val="4"/>
                <w:szCs w:val="4"/>
              </w:rPr>
            </w:pPr>
            <w:r>
              <w:rPr>
                <w:sz w:val="4"/>
                <w:szCs w:val="4"/>
              </w:rPr>
            </w:r>
          </w:p>
        </w:tc>
        <w:tc>
          <w:tcPr>
            <w:tcW w:w="7247" w:type="dxa"/>
            <w:gridSpan w:val="2"/>
            <w:tcBorders/>
            <w:vAlign w:val="center"/>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283"/>
              <w:jc w:val="left"/>
              <w:rPr>
                <w:b/>
              </w:rPr>
            </w:pPr>
            <w:r>
              <w:rPr>
                <w:b/>
              </w:rPr>
              <w:t>RECORD DATE</w:t>
            </w:r>
          </w:p>
        </w:tc>
        <w:tc>
          <w:tcPr>
            <w:tcW w:w="204"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Only shareholders of record at the close of business on October 7, 2026 are entitled to notice of, and to vote at, the Special Meeting and any adjournments or postponements thereof.</w:t>
            </w:r>
          </w:p>
        </w:tc>
      </w:tr>
      <w:tr>
        <w:trPr>
          <w:trHeight w:val="120" w:hRule="atLeast"/>
        </w:trPr>
        <w:tc>
          <w:tcPr>
            <w:tcW w:w="2958" w:type="dxa"/>
            <w:tcBorders/>
            <w:vAlign w:val="center"/>
          </w:tcPr>
          <w:p>
            <w:pPr>
              <w:pStyle w:val="TableContents"/>
              <w:bidi w:val="0"/>
              <w:spacing w:before="0" w:after="283"/>
              <w:jc w:val="left"/>
              <w:rPr>
                <w:sz w:val="4"/>
                <w:szCs w:val="4"/>
              </w:rPr>
            </w:pPr>
            <w:r>
              <w:rPr>
                <w:sz w:val="4"/>
                <w:szCs w:val="4"/>
              </w:rPr>
            </w:r>
          </w:p>
        </w:tc>
        <w:tc>
          <w:tcPr>
            <w:tcW w:w="7247" w:type="dxa"/>
            <w:gridSpan w:val="2"/>
            <w:tcBorders/>
            <w:vAlign w:val="center"/>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283"/>
              <w:jc w:val="left"/>
              <w:rPr>
                <w:b/>
              </w:rPr>
            </w:pPr>
            <w:r>
              <w:rPr>
                <w:b/>
              </w:rPr>
              <w:t>MEETING ADMISSION</w:t>
            </w:r>
          </w:p>
        </w:tc>
        <w:tc>
          <w:tcPr>
            <w:tcW w:w="204"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To attend and participate in the Special Meeting, visit</w:t>
              <w:br/>
              <w:t>www.proxydocs.com/KRSA and enter the 12-digit control number included on your proxy card or on the voting instruction form provided by your broker, bank or other nominee. Online check-in will begin approximately 15 minutes before the meeting begins.</w:t>
            </w:r>
          </w:p>
        </w:tc>
      </w:tr>
      <w:tr>
        <w:trPr>
          <w:trHeight w:val="120" w:hRule="atLeast"/>
        </w:trPr>
        <w:tc>
          <w:tcPr>
            <w:tcW w:w="2958" w:type="dxa"/>
            <w:tcBorders/>
            <w:vAlign w:val="center"/>
          </w:tcPr>
          <w:p>
            <w:pPr>
              <w:pStyle w:val="TableContents"/>
              <w:bidi w:val="0"/>
              <w:spacing w:before="0" w:after="283"/>
              <w:jc w:val="left"/>
              <w:rPr>
                <w:sz w:val="4"/>
                <w:szCs w:val="4"/>
              </w:rPr>
            </w:pPr>
            <w:r>
              <w:rPr>
                <w:sz w:val="4"/>
                <w:szCs w:val="4"/>
              </w:rPr>
            </w:r>
          </w:p>
        </w:tc>
        <w:tc>
          <w:tcPr>
            <w:tcW w:w="7247" w:type="dxa"/>
            <w:gridSpan w:val="2"/>
            <w:tcBorders/>
            <w:vAlign w:val="center"/>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283"/>
              <w:jc w:val="left"/>
              <w:rPr>
                <w:b/>
              </w:rPr>
            </w:pPr>
            <w:r>
              <w:rPr>
                <w:b/>
              </w:rPr>
              <w:t>VOTING BY PROXY</w:t>
            </w:r>
          </w:p>
        </w:tc>
        <w:tc>
          <w:tcPr>
            <w:tcW w:w="204"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Whether or not you plan to attend the Special Meeting, please vote as promptly as possible over the Internet or by telephone, or by completing, signing, dating and returning your proxy card, to ensure that your shares are represented and that a quorum is present. Internet and telephone voting facilities will close at 11:59 p.m., Eastern Time, on November 12, 2026. If you hold your shares through a broker, bank or other nominee, please follow the voting instructions provided by that organization.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Special Meeting is being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pursuant to the Massachusetts Business Corporation Act (the “MBCA”), the redomestication of the Company from a corporation organized under the laws of the Commonwealth of Massachusetts to an exempted company incorporated under the laws of the Cayman Islands by domestication pursuant to Section 9.20 of the MBCA, as set forth in the plan of domestication attached as Annex A to the accompanying Proxy Statement, and to adopt the resolutions of the Board of Directors approving such redomestication (the “Redomestication Resolutions”), attached as Annex E to the accompanying Proxy Statement (the “Domestication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pursuant to the Companies Act (As Revised) of the Cayman Islands (the “Companies Act”), the redomestication of the Company from the Commonwealth of Massachusetts to the Cayman Islands by way of continuation and the approval of the Redomestication Resolutions and (ii) as a special resolution for the purposes of Cayman Islands law, the adoption of the memorandum and articles of association of the Company (the “Cayman Articles”), substantially in the form attached as Annex B to the accompanying Proxy Statement (the “Continuation and Cayman Articles Proposal” or “Proposal No. 2”);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one or more adjournments of the Special Meeting, if necessary, to solicit additional proxies if there is not a sufficient number of votes in favor of the Domestication Proposal and the Continuation and Cayman Articles Proposal (the “Adjournment Proposal” or “Proposal No.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1 and Proposal No. 2 are together referred to as the “Redomestication Proposal,” and the redomestication of the Company from the Commonwealth of Massachusetts to the Cayman Islands contemplated by the Redomestication Proposal is referred to as the “Redomestication.” The Redomestication will not be effected unless both Proposal No. 1 and Proposal No. 2 are approved by the requisite shareholder votes. The Redomestication is not conditioned upon the approval of the Adjournment Proposal or upon the completion of any other transaction. No other business may be transacted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not less than two-thirds of the shares entitled to vote on the subject matter at the Special Meeting, assuming a quorum is present, is required for approval of Proposal No. 1. The affirmative vote of not less than two-thirds of the votes properly cast by the holders of the Company’s common stock in person or represented by proxy at the Special Meeting, assuming a quorum is present, is required for approval of Proposal No. 2. The number of affirmative votes exceeding the number of votes opposing the matter, assuming a quorum is present, is required for approval of Proposal No. 3.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Proposal No. 1 requires the affirmative vote of not less than two-thirds of the shares entitled to vote on the subject matter, abstentions, broker non-votes, if any, and failures to vote will each have the same effect as a vote “AGAINST” Proposal No. 1. Abstentions and broker non-votes, if any, will have no effect on the outcome of Proposal No. 2 or Proposal No. 3, although they will count for purposes of determining whether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attending the Special Meeting virtually or being represented by proxy, of the holders of a majority of the shares of the Company’s common stock outstanding and entitled to vote at the Special Meeting is necessary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order of the resolutions on the notice to the Special Meeting, the Adjournment Proposal may be presented first to the shareholders if, based on the tabulated vote collected at the time of the Special Meeting, there are insufficient votes for, or otherwise in connection with, the approval of the Domestication Proposal and the Continuation and Cayman Articles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you vote “FOR” Proposal No. 1, “FOR” Proposal No. 2 and “FOR” Proposal No. 3.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Proxy Statement is dated October 15, 2026 and, together with the enclosed proxy card, is first being mailed to shareholders on or about October 15, 2026.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Notice Regarding the Availability of Proxy Materials for the Special Meeting of Shareholders to Be Held on November 13, 2026: this Notice of Special Meeting of Shareholders and the accompanying Proxy Statement are available free of charge at www.proxydocs.com/KRSA. </w:t>
      </w:r>
    </w:p>
    <w:p>
      <w:pPr>
        <w:pStyle w:val="TextBody"/>
        <w:bidi w:val="0"/>
        <w:spacing w:before="12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Jonathan Violin, Ph.D. </w:t>
      </w:r>
    </w:p>
    <w:p>
      <w:pPr>
        <w:pStyle w:val="TextBody"/>
        <w:bidi w:val="0"/>
        <w:spacing w:before="24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Waltham, Massachusetts </w:t>
      </w:r>
    </w:p>
    <w:p>
      <w:pPr>
        <w:pStyle w:val="TextBody"/>
        <w:bidi w:val="0"/>
        <w:spacing w:before="240" w:after="0"/>
        <w:jc w:val="left"/>
        <w:rPr>
          <w:rFonts w:ascii="Times New Roman" w:hAnsi="Times New Roman"/>
          <w:sz w:val="20"/>
        </w:rPr>
      </w:pPr>
      <w:r>
        <w:rPr>
          <w:rFonts w:ascii="Times New Roman" w:hAnsi="Times New Roman"/>
          <w:sz w:val="20"/>
        </w:rPr>
        <w:t xml:space="preserve">October 15,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bookmarkStart w:id="3" w:name="toc"/>
      <w:bookmarkEnd w:id="3"/>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11"/>
        <w:gridCol w:w="334"/>
        <w:gridCol w:w="91"/>
        <w:gridCol w:w="606"/>
        <w:gridCol w:w="63"/>
      </w:tblGrid>
      <w:tr>
        <w:trPr/>
        <w:tc>
          <w:tcPr>
            <w:tcW w:w="9111"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11"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69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
              <w:r>
                <w:rPr>
                  <w:rStyle w:val="InternetLink"/>
                  <w:rFonts w:ascii="Times New Roman" w:hAnsi="Times New Roman"/>
                  <w:sz w:val="20"/>
                </w:rPr>
                <w:t>NOTICE OF SPECIAL MEETING OF SHAREHOLDERS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
              <w:r>
                <w:rPr>
                  <w:rStyle w:val="InternetLink"/>
                  <w:rFonts w:ascii="Times New Roman" w:hAnsi="Times New Roman"/>
                  <w:sz w:val="20"/>
                </w:rPr>
                <w:t>QUESTIONS AND ANSWERS ABOUT THE SPECIAL MEETING AND THE REDOMESTICATION</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5">
              <w:r>
                <w:rPr>
                  <w:rStyle w:val="InternetLink"/>
                  <w:rFonts w:ascii="Times New Roman" w:hAnsi="Times New Roman"/>
                  <w:sz w:val="20"/>
                </w:rPr>
                <w:t>CAUTIONARY NOTE REGARDING FORWARD-LOOKING STATEMENTS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6">
              <w:r>
                <w:rPr>
                  <w:rStyle w:val="InternetLink"/>
                  <w:rFonts w:ascii="Times New Roman" w:hAnsi="Times New Roman"/>
                  <w:sz w:val="20"/>
                </w:rPr>
                <w:t>THE SPECIAL MEETING</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7">
              <w:r>
                <w:rPr>
                  <w:rStyle w:val="InternetLink"/>
                  <w:rFonts w:ascii="Times New Roman" w:hAnsi="Times New Roman"/>
                  <w:sz w:val="20"/>
                </w:rPr>
                <w:t>PROPOSAL NOS. 1 AND 2: THE REDOMESTICATION PROPOSAL</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4">
              <w:r>
                <w:rPr>
                  <w:rStyle w:val="InternetLink"/>
                  <w:rFonts w:ascii="Times New Roman" w:hAnsi="Times New Roman"/>
                  <w:sz w:val="20"/>
                </w:rPr>
                <w:t>PROPOSAL NO. 3: THE ADJOURNMENT PROPOSAL</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5">
              <w:r>
                <w:rPr>
                  <w:rStyle w:val="InternetLink"/>
                  <w:rFonts w:ascii="Times New Roman" w:hAnsi="Times New Roman"/>
                  <w:sz w:val="20"/>
                </w:rPr>
                <w:t>SECURITY OWNERSHIP OF CERTAIN BENEFICIAL OWNERS AND MANAGEMENT</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7">
              <w:r>
                <w:rPr>
                  <w:rStyle w:val="InternetLink"/>
                  <w:rFonts w:ascii="Times New Roman" w:hAnsi="Times New Roman"/>
                  <w:sz w:val="20"/>
                </w:rPr>
                <w:t>HOUSEHOLDING OF PROXY MATERIALS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8">
              <w:r>
                <w:rPr>
                  <w:rStyle w:val="InternetLink"/>
                  <w:rFonts w:ascii="Times New Roman" w:hAnsi="Times New Roman"/>
                  <w:sz w:val="20"/>
                </w:rPr>
                <w:t>OTHER MATTERS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9">
              <w:r>
                <w:rPr>
                  <w:rStyle w:val="InternetLink"/>
                  <w:rFonts w:ascii="Times New Roman" w:hAnsi="Times New Roman"/>
                  <w:sz w:val="20"/>
                </w:rPr>
                <w:t>WHERE YOU CAN FIND MORE INFORMATION</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0">
              <w:r>
                <w:rPr>
                  <w:rStyle w:val="InternetLink"/>
                  <w:rFonts w:ascii="Times New Roman" w:hAnsi="Times New Roman"/>
                  <w:sz w:val="20"/>
                </w:rPr>
                <w:t>ANNEX A: PLAN OF DOMESTICATION</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1">
              <w:r>
                <w:rPr>
                  <w:rStyle w:val="InternetLink"/>
                  <w:rFonts w:ascii="Times New Roman" w:hAnsi="Times New Roman"/>
                  <w:sz w:val="20"/>
                </w:rPr>
                <w:t>ANNEX B: FORM OF MEMORANDUM AND ARTICLES OF ASSOCIATION</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2">
              <w:r>
                <w:rPr>
                  <w:rStyle w:val="InternetLink"/>
                  <w:rFonts w:ascii="Times New Roman" w:hAnsi="Times New Roman"/>
                  <w:sz w:val="20"/>
                </w:rPr>
                <w:t>ANNEX C: FORM OF CERTIFICATE OF DESIGNATION OF SERIES A NON-VOTING CONVERTIBLE PREFERRED SHARES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C-1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3">
              <w:r>
                <w:rPr>
                  <w:rStyle w:val="InternetLink"/>
                  <w:rFonts w:ascii="Times New Roman" w:hAnsi="Times New Roman"/>
                  <w:sz w:val="20"/>
                </w:rPr>
                <w:t>ANNEX D: FORM OF CERTIFICATE OF DESIGNATION OF SERIES B NON-VOTING CONVERTIBLE PREFERRED SHARES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D-1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4">
              <w:r>
                <w:rPr>
                  <w:rStyle w:val="InternetLink"/>
                  <w:rFonts w:ascii="Times New Roman" w:hAnsi="Times New Roman"/>
                  <w:sz w:val="20"/>
                </w:rPr>
                <w:t>ANNEX E: REDOMESTICATION RESOLUTIONS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E-1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36079_11"/>
      <w:bookmarkEnd w:id="4"/>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203 Crescent Street, Bldgs. #3/3A/4 </w:t>
      </w:r>
    </w:p>
    <w:p>
      <w:pPr>
        <w:pStyle w:val="TextBody"/>
        <w:bidi w:val="0"/>
        <w:spacing w:before="0" w:after="0"/>
        <w:jc w:val="center"/>
        <w:rPr>
          <w:rFonts w:ascii="Times New Roman" w:hAnsi="Times New Roman"/>
          <w:b/>
          <w:sz w:val="20"/>
        </w:rPr>
      </w:pPr>
      <w:r>
        <w:rPr>
          <w:rFonts w:ascii="Times New Roman" w:hAnsi="Times New Roman"/>
          <w:b/>
          <w:sz w:val="20"/>
        </w:rPr>
        <w:t xml:space="preserve">Suite 503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Massachusetts 02453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w:t>
      </w:r>
    </w:p>
    <w:p>
      <w:pPr>
        <w:pStyle w:val="TextBody"/>
        <w:bidi w:val="0"/>
        <w:spacing w:before="0" w:after="0"/>
        <w:jc w:val="center"/>
        <w:rPr>
          <w:rFonts w:ascii="Times New Roman" w:hAnsi="Times New Roman"/>
          <w:b/>
          <w:sz w:val="20"/>
        </w:rPr>
      </w:pPr>
      <w:r>
        <w:rPr>
          <w:rFonts w:ascii="Times New Roman" w:hAnsi="Times New Roman"/>
          <w:b/>
          <w:sz w:val="20"/>
        </w:rPr>
        <w:t xml:space="preserve">THE SPECIAL MEETING OF SHAREHOLDERS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NOVEMBER 13, 2026 </w:t>
      </w:r>
    </w:p>
    <w:p>
      <w:pPr>
        <w:pStyle w:val="TextBody"/>
        <w:bidi w:val="0"/>
        <w:spacing w:before="240" w:after="0"/>
        <w:jc w:val="left"/>
        <w:rPr>
          <w:rFonts w:ascii="Times New Roman" w:hAnsi="Times New Roman"/>
          <w:sz w:val="20"/>
        </w:rPr>
      </w:pPr>
      <w:r>
        <w:rPr>
          <w:rFonts w:ascii="Times New Roman" w:hAnsi="Times New Roman"/>
          <w:sz w:val="20"/>
        </w:rPr>
        <w:t xml:space="preserve">Korsana Biosciences, Inc. (“Korsana,” the “Company,” “we,” “us” or “our”) is providing this proxy statement in connection with the solicitation by the Board of Directors (the “Board”) of the Company of proxies to be voted at the Special Meeting of Shareholders (the “Special Meeting”) to be held on November 13, 2026 at 10:30 a.m., Eastern Time or at any adjournment or postponement thereof. The Special Meeting will be held exclusively online via live webcast at www.proxydocs.com/KRSA. There will be no physical location for the Special Meeting. The Board has fixed the close of business on October 7, 2026 as the record date (“Record Date”) for determining the Company’s shareholders entitled to notice of and to vote at the Special Meeting and at any adjournment or postponement thereof. </w:t>
      </w:r>
    </w:p>
    <w:p>
      <w:pPr>
        <w:pStyle w:val="TextBody"/>
        <w:bidi w:val="0"/>
        <w:spacing w:before="480" w:after="0"/>
        <w:jc w:val="center"/>
        <w:rPr>
          <w:rFonts w:ascii="Times New Roman" w:hAnsi="Times New Roman"/>
          <w:b/>
          <w:sz w:val="20"/>
        </w:rPr>
      </w:pPr>
      <w:bookmarkStart w:id="5" w:name="tx36079_2"/>
      <w:bookmarkEnd w:id="5"/>
      <w:r>
        <w:rPr>
          <w:rFonts w:ascii="Times New Roman" w:hAnsi="Times New Roman"/>
          <w:b/>
          <w:sz w:val="20"/>
        </w:rPr>
        <w:t xml:space="preserve">QUESTIONS AND ANSWERS ABOUT THE SPECIAL MEETING AND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Special Meeting and the Redomestication. This section, however, provides only summary information. For a more complete response to these questions and for additional information, please refer to the cross-referenced sections of this proxy statement. Except where specifically noted, the information contained in this proxy statement gives effect to the Merger (as defined below), the concurrent private placement that closed together with the Merger, and the 1-for-7 reverse stock split of the Company’s common stock effected immediately prior to the closing of the Merger, in each case as described below, other than the description of the voting results of the 2026 annual meeting of shareholders, which is presented on a pre-split basis. </w:t>
      </w:r>
    </w:p>
    <w:p>
      <w:pPr>
        <w:pStyle w:val="TextBody"/>
        <w:bidi w:val="0"/>
        <w:spacing w:before="360" w:after="0"/>
        <w:jc w:val="left"/>
        <w:rPr>
          <w:rFonts w:ascii="Times New Roman" w:hAnsi="Times New Roman"/>
          <w:b/>
          <w:sz w:val="20"/>
        </w:rPr>
      </w:pPr>
      <w:r>
        <w:rPr>
          <w:rFonts w:ascii="Times New Roman" w:hAnsi="Times New Roman"/>
          <w:b/>
          <w:sz w:val="20"/>
        </w:rPr>
        <w:t xml:space="preserve">Q: Why am I receiving this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A: You are receiving this proxy statement because you have been identified as a shareholder of Korsana Biosciences, Inc. (formerly known as Cyclerion Therapeutics, Inc.) as of the close of business on the Record Date, and you are entitled to vote at the Special Meeting to approve the matters set forth herein. This proxy statement is being used by the Board to solicit proxies for the Special Meeting and any adjournments or postponements of the Special Meeting. This proxy statement is dated October 15, 2026 and is first being mailed to the Company’s shareholders on or about October 15, 2026. </w:t>
      </w:r>
    </w:p>
    <w:p>
      <w:pPr>
        <w:pStyle w:val="TextBody"/>
        <w:bidi w:val="0"/>
        <w:spacing w:before="360" w:after="0"/>
        <w:jc w:val="left"/>
        <w:rPr>
          <w:rFonts w:ascii="Times New Roman" w:hAnsi="Times New Roman"/>
          <w:b/>
          <w:sz w:val="20"/>
        </w:rPr>
      </w:pPr>
      <w:r>
        <w:rPr>
          <w:rFonts w:ascii="Times New Roman" w:hAnsi="Times New Roman"/>
          <w:b/>
          <w:sz w:val="20"/>
        </w:rPr>
        <w:t xml:space="preserve">Q: When and where will the Special Meeting be held? </w:t>
      </w:r>
    </w:p>
    <w:p>
      <w:pPr>
        <w:pStyle w:val="TextBody"/>
        <w:bidi w:val="0"/>
        <w:spacing w:before="120" w:after="0"/>
        <w:jc w:val="left"/>
        <w:rPr>
          <w:rFonts w:ascii="Times New Roman" w:hAnsi="Times New Roman"/>
          <w:sz w:val="20"/>
        </w:rPr>
      </w:pPr>
      <w:r>
        <w:rPr>
          <w:rFonts w:ascii="Times New Roman" w:hAnsi="Times New Roman"/>
          <w:sz w:val="20"/>
        </w:rPr>
        <w:t xml:space="preserve">A: The Special Meeting will be held on November 13, 2026, commencing at 10:30 a.m., Eastern Time, unless postponed or adjourned to a later date. The Special Meeting will be held exclusively online. You will be able to attend and participate in the Special Meeting online by visiting www.proxydocs.com/KRSA, where you will be able to listen to the meeting live, submit questions and vote. </w:t>
      </w:r>
    </w:p>
    <w:p>
      <w:pPr>
        <w:pStyle w:val="TextBody"/>
        <w:bidi w:val="0"/>
        <w:spacing w:before="360" w:after="0"/>
        <w:jc w:val="left"/>
        <w:rPr>
          <w:rFonts w:ascii="Times New Roman" w:hAnsi="Times New Roman"/>
          <w:b/>
          <w:sz w:val="20"/>
        </w:rPr>
      </w:pPr>
      <w:r>
        <w:rPr>
          <w:rFonts w:ascii="Times New Roman" w:hAnsi="Times New Roman"/>
          <w:b/>
          <w:sz w:val="20"/>
        </w:rPr>
        <w:t xml:space="preserve">Q: What proposals will be voted on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At the Special Meeting, holders of the Company’s common stock will be asked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 1 - The Domestication Proposal</w:t>
            </w:r>
            <w:r>
              <w:rPr>
                <w:rFonts w:ascii="Times New Roman" w:hAnsi="Times New Roman"/>
                <w:sz w:val="20"/>
              </w:rPr>
              <w:t xml:space="preserve">, to approve the redomestication of the Company from the Commonwealth of Massachusetts to the Cayman Islands by domestication and to adopt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of the Board approving the redomestication (the “Redomestication Resolutions”), attached as Annex E to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 2 - The Continuation and Cayman Articles Proposal</w:t>
            </w:r>
            <w:r>
              <w:rPr>
                <w:rFonts w:ascii="Times New Roman" w:hAnsi="Times New Roman"/>
                <w:sz w:val="20"/>
              </w:rPr>
              <w:t xml:space="preserve">, to approve (i) the redomestication of the Company from the Commonwealth of Massachusetts to the Cayman Islands by way of continuation and the approval of the Redomestication Resolutions and (ii) as a special resolution for the purposes of Cayman Islands law, the memorandum and articles of association of the Company (the “Cayman Articles”), the form of which is attached as Annex B to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 3 - The Adjournment Proposal</w:t>
            </w:r>
            <w:r>
              <w:rPr>
                <w:rFonts w:ascii="Times New Roman" w:hAnsi="Times New Roman"/>
                <w:sz w:val="20"/>
              </w:rPr>
              <w:t xml:space="preserve">, to approve one or more adjournments of the Special Meeting, if necessary, to solicit additional proxies if there is not a sufficient number of votes in favor of Proposal No. 1 and Proposal No. 2.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1 and Proposal No. 2 are referred to together in this proxy statement as the “Redomestication Proposal.” The redomestication of the Company from the Commonwealth of Massachusetts to the Cayman Islands effected by the Domestication Proposal and the Continuation and Cayman Articles Proposal is referred to in this proxy statement as the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Q: What is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 The Redomestication is a change in the Company’s jurisdiction of organization from the Commonwealth of Massachusetts to the Cayman Islands. It consists of two concurrent steps affecting the same legal entity: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domestication under Massachusetts law, pursuant to Section 9.20 of the Massachusetts Business Corporation Act (the “MBCA”), effected in accordance with the Plan of Domestication, the form of which is attached as Annex A to this proxy statement (the “Plan of Domestication”);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by way of continuation under Cayman Islands law, pursuant to the Companies Act (As Revised) of the Cayman Islands (the “Companies Act”), upon which the Company will continue its existence as an exempted company limited by shares under the Companies Act and will adopt the Cayman Articles as its memorandum and articles of association.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Redomestication is effected, the Company will remain the same legal entity, with the same name, business, management, assets and liabilities, but its internal corporate affairs will cease to be governed by the Company’s restated articles of organization (as amended, the “Massachusetts Articles”) and the Company’s amended and restated bylaws (the “Massachusetts Bylaws”), and will instead be governed by the Companies Act and the provisions of the Cayman Articles, the form of which is attached as Annex B to this proxy statement. Approval of the Redomestication Proposal will also constitute approval of the Plan of 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happened at the annual meeting of shareholders held on August 26, 2026? </w:t>
      </w:r>
    </w:p>
    <w:p>
      <w:pPr>
        <w:pStyle w:val="TextBody"/>
        <w:bidi w:val="0"/>
        <w:spacing w:before="120" w:after="0"/>
        <w:jc w:val="left"/>
        <w:rPr>
          <w:rFonts w:ascii="Times New Roman" w:hAnsi="Times New Roman"/>
          <w:sz w:val="20"/>
        </w:rPr>
      </w:pPr>
      <w:r>
        <w:rPr>
          <w:rFonts w:ascii="Times New Roman" w:hAnsi="Times New Roman"/>
          <w:sz w:val="20"/>
        </w:rPr>
        <w:t xml:space="preserve">A: On August 26, 2026, the Company, then named Cyclerion Therapeutics, Inc. (“Cyclerion”), held its annual meeting of shareholders (the “2026 Annual Meeting”) in connection with the two-step merger transactions completed under the Agreement and Plan of Merger and Reorganization, dated April 1, 2026, as amended on April 17, 2026, with Korsana Biosciences, Inc., then a privately held Delaware corporation (“Legacy Korsana”), and the other parties thereto (the “Merger”). At the 2026 Annual Meeting, Cyclerion’s shareholders approved each of the proposals required to complete the Merger, and the Merger closed on September 8, 2026. In connection with the closing of the Merger, Cyclerion was renamed “Korsana Biosciences, Inc.” and the Company’s common stock began trading on the Nasdaq Capital Market under the symbol “KRSA.” </w:t>
      </w:r>
    </w:p>
    <w:p>
      <w:pPr>
        <w:pStyle w:val="TextBody"/>
        <w:bidi w:val="0"/>
        <w:spacing w:before="240" w:after="0"/>
        <w:jc w:val="left"/>
        <w:rPr>
          <w:rFonts w:ascii="Times New Roman" w:hAnsi="Times New Roman"/>
          <w:sz w:val="20"/>
        </w:rPr>
      </w:pPr>
      <w:r>
        <w:rPr>
          <w:rFonts w:ascii="Times New Roman" w:hAnsi="Times New Roman"/>
          <w:sz w:val="20"/>
        </w:rPr>
        <w:t xml:space="preserve">Cyclerion’s shareholders also voted at the 2026 Annual Meeting on a redomestication proposal substantially identical to the Redomestication Proposal described in this proxy statement, presented as Proposal No. 4A (the Massachusetts domestication) and Proposal No. 4B (the Cayman Islands continuation and the adoption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Cayman Articles). That proposal was not approved. The shares voted in favor of the redomestication at the 2026 Annual Meeting represented approximately 61.8% of the votes cast on the proposal, but only approximately 44.8% of the 4,681,351 shares entitled to vote at the 2026 Annual Meeting. Under the Massachusetts vote standard applicable to Proposal No. 4A, approval required the affirmative vote of not less than two-thirds of all shares entitled to vote on the matter, or at least 3,120,901 shares. Because that standard is measured against all outstanding shares rather than votes cast, all broker non-votes, abstentions and outstanding shares not represented at the 2026 Annual Meeting had the same effect as votes against the proposal. The votes cast in favor of the proposal also fell short of the two-thirds of votes properly cast required for approval of Proposal No. 4B as a special resolution under Cayman Islands law. Because approval of the redomestication was not a condition to the Merger, the Merger closed as planned and the Company remained a Massachusetts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Q: Why is the Board submitting the Redomestication Proposal to shareholders again? </w:t>
      </w:r>
    </w:p>
    <w:p>
      <w:pPr>
        <w:pStyle w:val="TextBody"/>
        <w:bidi w:val="0"/>
        <w:spacing w:before="120" w:after="0"/>
        <w:jc w:val="left"/>
        <w:rPr>
          <w:rFonts w:ascii="Times New Roman" w:hAnsi="Times New Roman"/>
          <w:sz w:val="20"/>
        </w:rPr>
      </w:pPr>
      <w:r>
        <w:rPr>
          <w:rFonts w:ascii="Times New Roman" w:hAnsi="Times New Roman"/>
          <w:sz w:val="20"/>
        </w:rPr>
        <w:t xml:space="preserve">A: The Board continues to believe that the Redomestication is advisable and in the best interests of the Company and its shareholders, for the reasons described in this proxy statement. At the 2026 Annual Meeting, the redomestication proposal received the support of a substantial majority, approximately 61.8%, of the votes cast. It nonetheless failed because, as a result of low overall voter turnout, the shares voted in favor represented fewer than the required two-thirds of all shares outstanding and entitled to vote, and the affirmative votes also fell short of the two-thirds of the votes properly cast required to approve the redomestication by way of continuation into the Cayman Islands as a special resolution. In light of that level of support among voting shareholders, the Board determined to resubmit the Redomestication Proposal to the Company’s shareholders, including the substantially expanded shareholder base resulting from the Merger and the concurrent private placement, promptly following the closing of the Merger. The Board unanimously recommends that you vote “FOR” each of the proposals described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Q: Is the Redomestication conditioned on the Merger or on any other transaction? </w:t>
      </w:r>
    </w:p>
    <w:p>
      <w:pPr>
        <w:pStyle w:val="TextBody"/>
        <w:bidi w:val="0"/>
        <w:spacing w:before="120" w:after="0"/>
        <w:jc w:val="left"/>
        <w:rPr>
          <w:rFonts w:ascii="Times New Roman" w:hAnsi="Times New Roman"/>
          <w:sz w:val="20"/>
        </w:rPr>
      </w:pPr>
      <w:r>
        <w:rPr>
          <w:rFonts w:ascii="Times New Roman" w:hAnsi="Times New Roman"/>
          <w:sz w:val="20"/>
        </w:rPr>
        <w:t xml:space="preserve">A: No. The Merger closed on September 8, 2026, and the Redomestication is not conditioned on the Merger or on any other transaction. The Redomestication will be effected if Proposal No. 1 and Proposal No. 2 are each approved by the requisite vote of the Company’s shareholders and the filings described in this proxy statement are made with the Secretary of the Commonwealth of Massachusetts and the Cayman Islands Registrar of Companies. See the section titled “Proposal Nos. 1 and 2: The Redomestication Proposal — Additional Information — Regulatory Matters.” </w:t>
      </w:r>
    </w:p>
    <w:p>
      <w:pPr>
        <w:pStyle w:val="TextBody"/>
        <w:bidi w:val="0"/>
        <w:spacing w:before="360" w:after="0"/>
        <w:jc w:val="left"/>
        <w:rPr>
          <w:rFonts w:ascii="Times New Roman" w:hAnsi="Times New Roman"/>
          <w:b/>
          <w:sz w:val="20"/>
        </w:rPr>
      </w:pPr>
      <w:r>
        <w:rPr>
          <w:rFonts w:ascii="Times New Roman" w:hAnsi="Times New Roman"/>
          <w:b/>
          <w:sz w:val="20"/>
        </w:rPr>
        <w:t xml:space="preserve">Q: Why does the Board believe the Redomestication is in the best interests of the Company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The Board believes that there are several reasons why the Redomestication is in the best interests of the Company and its shareholders. The Board believes the Redomestication may help the Company attract and retain qualified management by reducing the risk of lawsuits being filed against the Company and its directors and officers. The Board believes that, for the reasons described in this proxy statement, in general, Cayman Islands law will provide greater protection to the Company and its directors and officers than Massachusetts law. Additionally, the Board believes that the Redomestication will give the Company more flexibility and predictability in various corporate transactions. For more information, please see the section titled “Proposal Nos. 1 and 2: The Redomestication Proposal — Reasons for the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happen to my shares in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 If the Redomestication is effected, then, automatically and by operation of law, without any exchange of certificates or any other action on the part of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common stock of the Company will be automatically converted into one ordinary share of the Company as continued in the Cayman Islands (the “Cayman Company,” and each such ordinary share, a “Cayman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any series of the preferred stock of the Company will be automatically converted into one share of the corresponding series of the preferred shares of the Cayman Company. Accordingly, each outstanding share, if any, of the Company’s Series A Convertible Preferred Stock will be automatically converted into one Series A Non-Voting Convertible Preferred Share (a “Cayman Series A Preferred Share”) of the Cayman Company, having the rights set forth in the certificate of designation in the form attached as Annex C to this proxy statement (the “Cayman Series A Certificate of Designation”), and each outstanding share of the Company’s Series B Non-Voting Convertible Preferred Stock will be automatically converted into one Series B Non-Voting Convertible Preferred Share (a “Cayman Series B Preferred Share”) of the Cayman Company, having the rights set forth in the certificate of designation in the form attached as Annex D to this proxy statement (the “Cayman Series B Certificate of Designation”), in each case with rights, preferences and privileges that correspond to those of the applicable existing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proportionate ownership interest in the Company will not change as a result of the Redomestication.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will not be required to exchange your existing stock certificates (if any) for new share certificates, and you do not need to take any action to receive Cayman Shares or preferred shares of the Cayman Company. See “Do I need to exchange my stock certificates?” below.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happen to outstanding options, warrants and contingent value rights in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 Each outstanding option or right to acquire shares of common stock of the Company, including each outstanding warrant and pre-funded warrant, will continue in existence in the form of and will automatically become an option or right to acquire an equal number of Cayman Shares under the same terms and conditions. In addition, the contingent value rights (the “CVRs”) issued to Cyclerion shareholders pursuant to the contingent value rights agreement entered into in connection with the Merger (the “CVR Agreement”) are contractual obligations of the Company and, because the Company will continue as the same legal entity following the Redomestication, the CVRs will remain outstanding following the Redomestication in accordance with, and subject to, the terms and conditions of the CVR Agreement, unaffected by the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Q: Will the Redomestication change the Company’s name, business, management, Nasdaq listing or SEC reporting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A: No. The Company will continue as the same legal entity under the name “Korsana Biosciences, Inc.” There will be no change in the Company’s business, offices, management, board of directors, obligations, assets or liabilities by reason of the Redomestication (other than transaction costs incurred in connection with the Redomestication). All of the Company’s directors and officers will continue to hold the same positions within the Cayman Company. The Company’s common stock will continue to be listed on the Nasdaq Capital Market under the symbol “KRSA,” and the Company does not expect any interruption in the trading of its common stock as a result of the Redomestication. We expect the Company’s common stock to be represented by a new CUSIP number following the Redomestication. Except as related to the implementation of a new CUSIP, there is not expected to be any interruption in the trading of the Cayman Shares as a result of the Redomestication. The Company will remain subject to the periodic reporting requirements of the Securities and Exchange Commission (the “SEC”), and the Company and its shareholders will be in the same respective positions under the federal securities laws after the Redomestication. Effecting the Redomestication will not have any material accounting implications. </w:t>
      </w:r>
    </w:p>
    <w:p>
      <w:pPr>
        <w:pStyle w:val="TextBody"/>
        <w:bidi w:val="0"/>
        <w:spacing w:before="360" w:after="0"/>
        <w:jc w:val="left"/>
        <w:rPr>
          <w:rFonts w:ascii="Times New Roman" w:hAnsi="Times New Roman"/>
          <w:b/>
          <w:sz w:val="20"/>
        </w:rPr>
      </w:pPr>
      <w:r>
        <w:rPr>
          <w:rFonts w:ascii="Times New Roman" w:hAnsi="Times New Roman"/>
          <w:b/>
          <w:sz w:val="20"/>
        </w:rPr>
        <w:t xml:space="preserve">Q: How will the Redomestication affect my rights as a shareholder? </w:t>
      </w:r>
    </w:p>
    <w:p>
      <w:pPr>
        <w:pStyle w:val="TextBody"/>
        <w:bidi w:val="0"/>
        <w:spacing w:before="120" w:after="0"/>
        <w:jc w:val="left"/>
        <w:rPr>
          <w:rFonts w:ascii="Times New Roman" w:hAnsi="Times New Roman"/>
          <w:sz w:val="20"/>
        </w:rPr>
      </w:pPr>
      <w:r>
        <w:rPr>
          <w:rFonts w:ascii="Times New Roman" w:hAnsi="Times New Roman"/>
          <w:sz w:val="20"/>
        </w:rPr>
        <w:t xml:space="preserve">A: Your rights as a shareholder currently are governed by Massachusetts law and the provisions of the Massachusetts Articles and the Massachusetts Bylaws. If the Redomestication is effected, you will become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 of a Cayman Islands exempted company, and your rights will be governed by Cayman Islands law and the provisions of the Cayman Articles, in the form attached as Annex B to this proxy statement, which differ in certain respects from your current rights. Among other changes, the Cayman Articles will divide the board of directors into three classes serving staggered three-year terms, with directors elected by a plurality of the votes properly cast, whereas all of the Company’s directors are currently elected annually. These important differences are discussed and summarized in this proxy statement under “Proposal Nos. 1 and 2: The Redomestication Proposal — Effects of the Redomestication — Comparison of Rights of Holders of the Massachusetts Corporation Capital Stock and the Cayman Company Share Capital” and “Proposal Nos. 1 and 2: The Redomestication Proposal — Effects of the Redomestication — Comparison of Shareholder Rights under Massachusetts Law and Cayman Islands Law.” The Company urges you to read those sections carefully before voting.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U.S. federal income tax considerations of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limitations and qualifications described in the section titled “Proposal Nos. 1 and 2: The Redomestication Proposal — Material U.S. Federal Income Tax Considerations of the Redomestication,” the Company intends that the Redomestication qualify as a “reorganization” within the meaning of Section 368(a)(1)(F) of the Internal Revenue Code of 1986, as amended (the “Code”). Assuming the Redomestication so qualifies, a U.S. Holder (as defined in that section) will not recognize gain or loss upon the Redomestication, will have the same aggregate basis in its shares of the Cayman Company after the Redomestication as such U.S. Holder had in the corresponding shares of the Company immediately prior to the Redomestication, and will have a holding period in such shares that includes the holding period of the corresponding shares held immediately prior to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Section 7874 of the Code, the Company after the Redomestication is and will continue to be treated as a U.S. corporation for all purposes under the Code. The Redomestication will not cause the Company to be treated as a foreign corporation for U.S. federal income tax purposes, and the Company will remain subject to U.S. federal income tax on its worldwide taxable income. For a more detailed discussion of the U.S. federal income tax considerations of the Redomestication, including required tax reporting for certain holders, please see the section titled “Proposal Nos. 1 and 2: The Redomestication Proposal — Material U.S. Federal Income Tax Considerations of the Redomestication.” You should consult your own tax advisor regarding the particular tax consequences of the Redomestication to you. </w:t>
      </w:r>
    </w:p>
    <w:p>
      <w:pPr>
        <w:pStyle w:val="TextBody"/>
        <w:bidi w:val="0"/>
        <w:spacing w:before="360" w:after="0"/>
        <w:jc w:val="left"/>
        <w:rPr>
          <w:rFonts w:ascii="Times New Roman" w:hAnsi="Times New Roman"/>
          <w:b/>
          <w:sz w:val="20"/>
        </w:rPr>
      </w:pPr>
      <w:r>
        <w:rPr>
          <w:rFonts w:ascii="Times New Roman" w:hAnsi="Times New Roman"/>
          <w:b/>
          <w:sz w:val="20"/>
        </w:rPr>
        <w:t xml:space="preserve">Q: Do I have appraisal or dissenters’ rights in connection with the Redomestication or the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 No. Holders of the Company’s common stock are not entitled to appraisal rights under Massachusetts law with respect to the Redomestication described in this proxy statement. The corporate actions described in this proxy statement will not afford shareholders the opportunity to dissent from the actions described herein or to receive an agreed or judicially appraised value for their shares. </w:t>
      </w:r>
    </w:p>
    <w:p>
      <w:pPr>
        <w:pStyle w:val="TextBody"/>
        <w:bidi w:val="0"/>
        <w:spacing w:before="360" w:after="0"/>
        <w:jc w:val="left"/>
        <w:rPr>
          <w:rFonts w:ascii="Times New Roman" w:hAnsi="Times New Roman"/>
          <w:b/>
          <w:sz w:val="20"/>
        </w:rPr>
      </w:pPr>
      <w:r>
        <w:rPr>
          <w:rFonts w:ascii="Times New Roman" w:hAnsi="Times New Roman"/>
          <w:b/>
          <w:sz w:val="20"/>
        </w:rPr>
        <w:t xml:space="preserve">Q: Are Proposal No. 1 and Proposal No. 2 conditioned on each other? </w:t>
      </w:r>
    </w:p>
    <w:p>
      <w:pPr>
        <w:pStyle w:val="TextBody"/>
        <w:bidi w:val="0"/>
        <w:spacing w:before="120" w:after="0"/>
        <w:jc w:val="left"/>
        <w:rPr>
          <w:rFonts w:ascii="Times New Roman" w:hAnsi="Times New Roman"/>
          <w:sz w:val="20"/>
        </w:rPr>
      </w:pPr>
      <w:r>
        <w:rPr>
          <w:rFonts w:ascii="Times New Roman" w:hAnsi="Times New Roman"/>
          <w:sz w:val="20"/>
        </w:rPr>
        <w:t xml:space="preserve">A: Yes. The Redomestication will not be effected unless both Proposal No. 1 and Proposal No. 2 are approved by the requisite vote of the Company’s shareholders. If either Proposal No. 1 or Proposal No. 2 is not approved, neither the domestication under Massachusetts law nor the redomestication by way of continuation under Cayman Islands law will be implemented, even if the other proposal is approved, and the Cayman Articles will not be adopted. Approval of the Adjournment Proposal (Proposal No. 3) is not a condition to the Redomestication or to either of Proposal No. 1 or Proposal No. 2.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Proposal No. 1 or Proposal No. 2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A: If either Proposal No. 1 or Proposal No. 2 is not approved by the requisite vote of the Company’s shareholders, the Redomestication will not be effected and the Company will remain a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governed by the MBCA, the Company’s restated articles of organization, as amended, and the Company’s amended and restated bylaws. The Company’s common stock would continue to be listed on the Nasdaq Capital Market under the symbol “KRSA,” and the failure to approve the Redomestication Proposal would have no effect on the Merger, which has already been completed, or on the Company’s business or operations. If there are insufficient votes to approve Proposal No. 1 and Proposal No. 2 at the time of the Special Meeting, the Special Meeting may be adjourned to solicit additional proxies as described below under “What happens if the Special Meeting is adjourned or postponed?” </w:t>
      </w:r>
    </w:p>
    <w:p>
      <w:pPr>
        <w:pStyle w:val="TextBody"/>
        <w:bidi w:val="0"/>
        <w:spacing w:before="360" w:after="0"/>
        <w:jc w:val="left"/>
        <w:rPr>
          <w:rFonts w:ascii="Times New Roman" w:hAnsi="Times New Roman"/>
          <w:b/>
          <w:sz w:val="20"/>
        </w:rPr>
      </w:pPr>
      <w:r>
        <w:rPr>
          <w:rFonts w:ascii="Times New Roman" w:hAnsi="Times New Roman"/>
          <w:b/>
          <w:sz w:val="20"/>
        </w:rPr>
        <w:t xml:space="preserve">Q: When is the Redomestication expected to become effective? </w:t>
      </w:r>
    </w:p>
    <w:p>
      <w:pPr>
        <w:pStyle w:val="TextBody"/>
        <w:bidi w:val="0"/>
        <w:spacing w:before="120" w:after="0"/>
        <w:jc w:val="left"/>
        <w:rPr>
          <w:rFonts w:ascii="Times New Roman" w:hAnsi="Times New Roman"/>
          <w:sz w:val="20"/>
        </w:rPr>
      </w:pPr>
      <w:r>
        <w:rPr>
          <w:rFonts w:ascii="Times New Roman" w:hAnsi="Times New Roman"/>
          <w:sz w:val="20"/>
        </w:rPr>
        <w:t xml:space="preserve">A: If Proposal No. 1 and Proposal No. 2 are approved, the Company anticipates that the Redomestication will become effective as soon as practicable following the Special Meeting (the “Redomestication Effective Time”). Notwithstanding shareholder approval of the Redomestication Proposal, the Board reserves the right to delay the Redomestication or to abandon the Redomestication and the Plan of Domestication if the Board determines for any reason that such delay or abandonment would be in the best interests of the Company and its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Q: Do I need to exchange my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A: No. Shareholders will not be required to exchange their existing stock certificates (if any) for new share certificates. If the Redomestication is effected, each outstanding share of the Company’s capital stock will be automatically converted into the corresponding share of the Cayman Company as described above, without any action on the part of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Q: Who is entitled to vote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Only holders of record of the Company’s common stock at the close of business on the Record Date, October 7, 2026, are entitled to notice of, and to vote at, the Special Meeting and any adjournment or postponement thereof. At the close of business on the Record Date, there were 45,541,358 shares of the Company’s common stock issued and outstanding and entitled to vote at the Special Meeting. Each share of the Company’s common stock entitles the holder thereof to one vote on each matter submitted for shareholder approval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is the only class of the Company’s capital stock entitled to vote at the Special Meeting. As of the Record Date, there were also no shares of Series A Convertible Preferred Stock and 4,148 shares of Series B Non-Voting Convertible Preferred Stock issued and outstanding. Neither series of preferred stock is entitled to vote on the proposals described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Q: What vote is required to approve each proposal, and how are abstentions and broker non-votes counted? </w:t>
      </w:r>
    </w:p>
    <w:p>
      <w:pPr>
        <w:pStyle w:val="TextBody"/>
        <w:bidi w:val="0"/>
        <w:spacing w:before="120" w:after="0"/>
        <w:jc w:val="left"/>
        <w:rPr>
          <w:rFonts w:ascii="Times New Roman" w:hAnsi="Times New Roman"/>
          <w:sz w:val="20"/>
        </w:rPr>
      </w:pPr>
      <w:r>
        <w:rPr>
          <w:rFonts w:ascii="Times New Roman" w:hAnsi="Times New Roman"/>
          <w:sz w:val="20"/>
        </w:rPr>
        <w:t xml:space="preserve">A: The vote required to approve each proposal, and the effect of abstentions and broker non-votes on each proposal,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1 (the Domestication Proposal).</w:t>
            </w:r>
            <w:r>
              <w:rPr>
                <w:rFonts w:ascii="Times New Roman" w:hAnsi="Times New Roman"/>
                <w:sz w:val="20"/>
              </w:rPr>
              <w:t xml:space="preserve"> The affirmative vote of not less than two-thirds of the shares of the Company’s common stock outstanding and entitled to vote on the subject matter at the Special Meeting, assuming a quorum is present, is required for approval of Proposal No. 1. Because this standard is measured against all outstanding shares entitled to vote, and not against votes cast, abstentions, broker non-votes (if any) and any failure to vote or to be represented at the Special Meeting will each have the same effect as a vote “AGAINST”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2 (the Continuation and Cayman Articles Proposal).</w:t>
            </w:r>
            <w:r>
              <w:rPr>
                <w:rFonts w:ascii="Times New Roman" w:hAnsi="Times New Roman"/>
                <w:sz w:val="20"/>
              </w:rPr>
              <w:t xml:space="preserve"> The affirmative vote of not less than two-thirds of the votes properly cast by the holders of the Company’s common stock, by attending the Special Meeting or represented by proxy, assuming a quorum is present, is required for approval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2. This standard reflects the vote required to pass a special resolution for the purposes of Cayman Islands law. Abstentions and broker non-votes (if any) are not votes properly cast and will therefore have no effect on the outcome of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3 (the Adjournment Proposal).</w:t>
            </w:r>
            <w:r>
              <w:rPr>
                <w:rFonts w:ascii="Times New Roman" w:hAnsi="Times New Roman"/>
                <w:sz w:val="20"/>
              </w:rPr>
              <w:t xml:space="preserve"> The number of affirmative votes exceeding the number of votes opposing the matter, assuming a quorum is present, is required for approval of Proposal No. 3. Abstentions and broker non-votes (if any) are not counted as votes for or against the matter and will have no effect on the outcome of Proposal No.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Special Meeting, who will separately count “FOR” and “AGAINST” votes, abstentions and broker non-votes, if any, as applicable to each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Proposal No. 1 requires the affirmative vote of two-thirds of all outstanding shares of common stock entitled to vote, and not merely two-thirds of the votes cast, every share that is not voted at the Special Meeting will have the same effect as a vote “AGAINST” Proposal No. 1. This is the same vote standard under which the redomestication proposal was not approved at the 2026 Annual Meeting. Accordingly, your vote is important regardless of the number of shares you own, and the Company urges you to submit your proxy as promptly as possible. </w:t>
      </w:r>
    </w:p>
    <w:p>
      <w:pPr>
        <w:pStyle w:val="TextBody"/>
        <w:bidi w:val="0"/>
        <w:spacing w:before="360" w:after="0"/>
        <w:jc w:val="left"/>
        <w:rPr>
          <w:rFonts w:ascii="Times New Roman" w:hAnsi="Times New Roman"/>
          <w:b/>
          <w:sz w:val="20"/>
        </w:rPr>
      </w:pPr>
      <w:r>
        <w:rPr>
          <w:rFonts w:ascii="Times New Roman" w:hAnsi="Times New Roman"/>
          <w:b/>
          <w:sz w:val="20"/>
        </w:rPr>
        <w:t xml:space="preserve">Q: What constitutes a quorum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The presence, by attending the Special Meeting or being represented by proxy, of the holders of a majority of the shares of the Company’s common stock outstanding and entitled to vote at the Special Meeting is necessary to constitute a quorum at the meeting. Abstentions will be treated as shares present for the purpose of determining the presence of a quorum. Broker non-votes, if any, would also be treated as shares present for purposes of determining the presence of a quorum; however, as described below, the Company does not expect any broker non-votes at the Special Meeting, and shares held in street name for which no voting instructions are provided will not be counted for purposes of determining whether a quorum is present. If a quorum is not present or represented at the Special Meeting, the Special Meeting may be adjourned to permit further solicitation of proxies. </w:t>
      </w:r>
    </w:p>
    <w:p>
      <w:pPr>
        <w:pStyle w:val="TextBody"/>
        <w:bidi w:val="0"/>
        <w:spacing w:before="360" w:after="0"/>
        <w:jc w:val="left"/>
        <w:rPr>
          <w:rFonts w:ascii="Times New Roman" w:hAnsi="Times New Roman"/>
          <w:b/>
          <w:sz w:val="20"/>
        </w:rPr>
      </w:pPr>
      <w:r>
        <w:rPr>
          <w:rFonts w:ascii="Times New Roman" w:hAnsi="Times New Roman"/>
          <w:b/>
          <w:sz w:val="20"/>
        </w:rPr>
        <w:t xml:space="preserve">Q: How does the Board recommend that I vote? </w:t>
      </w:r>
    </w:p>
    <w:p>
      <w:pPr>
        <w:pStyle w:val="TextBody"/>
        <w:bidi w:val="0"/>
        <w:spacing w:before="120" w:after="0"/>
        <w:jc w:val="left"/>
        <w:rPr>
          <w:rFonts w:ascii="Times New Roman" w:hAnsi="Times New Roman"/>
          <w:sz w:val="20"/>
        </w:rPr>
      </w:pPr>
      <w:r>
        <w:rPr>
          <w:rFonts w:ascii="Times New Roman" w:hAnsi="Times New Roman"/>
          <w:sz w:val="20"/>
        </w:rPr>
        <w:t xml:space="preserve">A: The Board has determined and believes that the Redomestication is fair to, in the best interests of, and advisable to, the Company and its shareholders. The Board unanimously recommends that you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Proposal No. 1, the Domestication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Proposal No. 2, the Continuation and Cayman Articles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Proposal No. 3,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Properly authorized proxies solicited by the Board will be voted “FOR” each of the proposals unless instructions to the contrary are given. </w:t>
      </w:r>
    </w:p>
    <w:p>
      <w:pPr>
        <w:pStyle w:val="TextBody"/>
        <w:bidi w:val="0"/>
        <w:spacing w:before="360" w:after="0"/>
        <w:jc w:val="left"/>
        <w:rPr>
          <w:rFonts w:ascii="Times New Roman" w:hAnsi="Times New Roman"/>
          <w:b/>
          <w:sz w:val="20"/>
        </w:rPr>
      </w:pPr>
      <w:r>
        <w:rPr>
          <w:rFonts w:ascii="Times New Roman" w:hAnsi="Times New Roman"/>
          <w:b/>
          <w:sz w:val="20"/>
        </w:rPr>
        <w:t xml:space="preserve">Q: How do I vote? </w:t>
      </w:r>
    </w:p>
    <w:p>
      <w:pPr>
        <w:pStyle w:val="TextBody"/>
        <w:bidi w:val="0"/>
        <w:spacing w:before="120" w:after="0"/>
        <w:jc w:val="left"/>
        <w:rPr>
          <w:rFonts w:ascii="Times New Roman" w:hAnsi="Times New Roman"/>
          <w:sz w:val="20"/>
        </w:rPr>
      </w:pPr>
      <w:r>
        <w:rPr>
          <w:rFonts w:ascii="Times New Roman" w:hAnsi="Times New Roman"/>
          <w:sz w:val="20"/>
        </w:rPr>
        <w:t xml:space="preserve">A: The procedures for voting depend on whether your shares are registered in your name or held in “street name.” </w:t>
      </w:r>
    </w:p>
    <w:p>
      <w:pPr>
        <w:pStyle w:val="TextBody"/>
        <w:bidi w:val="0"/>
        <w:spacing w:before="240" w:after="0"/>
        <w:jc w:val="left"/>
        <w:rPr>
          <w:rFonts w:ascii="Times New Roman" w:hAnsi="Times New Roman"/>
          <w:sz w:val="20"/>
        </w:rPr>
      </w:pPr>
      <w:r>
        <w:rPr>
          <w:rFonts w:ascii="Times New Roman" w:hAnsi="Times New Roman"/>
          <w:b/>
          <w:i/>
          <w:sz w:val="20"/>
        </w:rPr>
        <w:t xml:space="preserve">Shareholder of Record: Shares Registered in Your Name. </w:t>
      </w:r>
      <w:r>
        <w:rPr>
          <w:rFonts w:ascii="Times New Roman" w:hAnsi="Times New Roman"/>
          <w:sz w:val="20"/>
        </w:rPr>
        <w:t xml:space="preserve">If, as of the Record Date, your shares were registered directly in your name with the Company’s transfer agent, Computershare Trust Company, N.A., then you are a shareholder of record. As a shareholder of record, you may vote at the Special Meeting or vote by proxy. Whether or not you plan to attend the Special Meeting, the Company urges you to vote by proxy to ensure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is counted. You may still attend the Special Meeting and vote even if you have already voted by proxy; in that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during the meeting, attend the Special Meeting via the Internet at www.proxydocs.com/KRSA and follow the instructions posted there. You will need the control number included on your proxy card or the accompanying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enclosed proxy card and return it promptly in the envelope provided. If you return your signed proxy card to the Company before the Special Meeting, your shares will be voted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1-866-864-0727 using a touch-tone phone and follow the recorded instructions. You will be asked to provide the company number and control number from your proxy card. Your vote must be received by November 12, 2026 at 11:59 p.m., Eastern Time,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www.proxydocs.com/KRSA to complete an electronic proxy card. You will be asked to provide the company number and control number from your proxy card. Your vote must be received by November 12, 2026 at 11:59 p.m., Eastern Time, to be counted.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b/>
          <w:i/>
          <w:sz w:val="20"/>
        </w:rPr>
        <w:t>Beneficial Owner: Shares Registered in the Name of a Broker or Bank.</w:t>
      </w:r>
      <w:r>
        <w:rPr>
          <w:rFonts w:ascii="Times New Roman" w:hAnsi="Times New Roman"/>
          <w:sz w:val="20"/>
        </w:rPr>
        <w:t xml:space="preserve"> If you are a beneficial owner of shares registered in the name of your broker, bank or other agent, you should have received a voting instruction form and voting instructions with these proxy materials from that organization rather than from the Company. Simply follow the voting instructions provided by that organization, which may include a requirement to obtain a legal proxy from them and submit a copy during the advance registration process for the meeting, to ensure that your vote is counted. You may be able to vote by telephone or over the Internet as instructed by your broker, bank or other agent.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360" w:after="0"/>
        <w:jc w:val="left"/>
        <w:rPr>
          <w:rFonts w:ascii="Times New Roman" w:hAnsi="Times New Roman"/>
          <w:b/>
          <w:sz w:val="20"/>
        </w:rPr>
      </w:pPr>
      <w:r>
        <w:rPr>
          <w:rFonts w:ascii="Times New Roman" w:hAnsi="Times New Roman"/>
          <w:b/>
          <w:sz w:val="20"/>
        </w:rPr>
        <w:t xml:space="preserve">Q: What if I return a proxy card or otherwise vote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A: If you return a signed and dated proxy card or otherwise vote without marking voting selections, your shares will be voted “</w:t>
      </w:r>
      <w:r>
        <w:rPr>
          <w:rFonts w:ascii="Times New Roman" w:hAnsi="Times New Roman"/>
          <w:b/>
          <w:sz w:val="20"/>
        </w:rPr>
        <w:t>FOR</w:t>
      </w:r>
      <w:r>
        <w:rPr>
          <w:rFonts w:ascii="Times New Roman" w:hAnsi="Times New Roman"/>
          <w:sz w:val="20"/>
        </w:rPr>
        <w:t>” Proposal No. 1, “</w:t>
      </w:r>
      <w:r>
        <w:rPr>
          <w:rFonts w:ascii="Times New Roman" w:hAnsi="Times New Roman"/>
          <w:b/>
          <w:sz w:val="20"/>
        </w:rPr>
        <w:t>FOR</w:t>
      </w:r>
      <w:r>
        <w:rPr>
          <w:rFonts w:ascii="Times New Roman" w:hAnsi="Times New Roman"/>
          <w:sz w:val="20"/>
        </w:rPr>
        <w:t>” Proposal No. 2 and “</w:t>
      </w:r>
      <w:r>
        <w:rPr>
          <w:rFonts w:ascii="Times New Roman" w:hAnsi="Times New Roman"/>
          <w:b/>
          <w:sz w:val="20"/>
        </w:rPr>
        <w:t>FOR</w:t>
      </w:r>
      <w:r>
        <w:rPr>
          <w:rFonts w:ascii="Times New Roman" w:hAnsi="Times New Roman"/>
          <w:sz w:val="20"/>
        </w:rPr>
        <w:t xml:space="preserve">” Proposal No. 3, in accordance with the recommendation of the Board. Although the Company does not expect any other matter to be presented at the Special Meeting, if any other matter is properly presented, your proxy 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I do not vote, or if I hold my shares in street name and do not provide voting instructions to my broker?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shareholder of record and fail to return your proxy card or otherwise vote, your shares will not be voted and will not be counted for purposes of determining whether a quorum is present. Because approval of Proposal No. 1 requires the affirmative vote of not less than two-thirds of all outstanding shares entitled to vote, your failure to vote will have the same effect as a vote “AGAINST” Proposal No. 1.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under applicable stock exchange rules and is not entitled to vote your shares with respect to “non-routine” proposals. Generally, a “broker non-vote” occurs when shares held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 are not voted with respect to a particular proposal because the broker has not received voting instructions from its client with respect to such shares and does not have discretionary authority to vote on the matter. Whether a proposal is considered routine or non-routine is subject to stock exchange rules and final determination by the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each of the proposals to be presented at the Special Meeting will be considered non-routine and that brokers, banks and other agents therefore will not have discretionary authority to vote uninstructed shares on any proposal at the Special Meeting. As a result, the Company does not expect any broker non-votes at the Special Meeting. If you hold your shares in street name and do not provide voting instructions, your shares will not be voted on any proposal, will not be counted for purposes of determining whether a quorum is present, and will have the same effect as a vote “AGAINST” Proposal No. 1. The Company therefore urges you to direct your broker, bank or other agent how to vote your shares on all proposals to ensure that your vote is counted. </w:t>
      </w:r>
    </w:p>
    <w:p>
      <w:pPr>
        <w:pStyle w:val="TextBody"/>
        <w:bidi w:val="0"/>
        <w:spacing w:before="360" w:after="0"/>
        <w:jc w:val="left"/>
        <w:rPr>
          <w:rFonts w:ascii="Times New Roman" w:hAnsi="Times New Roman"/>
          <w:b/>
          <w:sz w:val="20"/>
        </w:rPr>
      </w:pPr>
      <w:r>
        <w:rPr>
          <w:rFonts w:ascii="Times New Roman" w:hAnsi="Times New Roman"/>
          <w:b/>
          <w:sz w:val="20"/>
        </w:rPr>
        <w:t xml:space="preserve">Q: May I revoke or change my vote after I have submitted a proxy or provided proxy instructions? </w:t>
      </w:r>
    </w:p>
    <w:p>
      <w:pPr>
        <w:pStyle w:val="TextBody"/>
        <w:bidi w:val="0"/>
        <w:spacing w:before="120" w:after="0"/>
        <w:jc w:val="left"/>
        <w:rPr>
          <w:rFonts w:ascii="Times New Roman" w:hAnsi="Times New Roman"/>
          <w:sz w:val="20"/>
        </w:rPr>
      </w:pPr>
      <w:r>
        <w:rPr>
          <w:rFonts w:ascii="Times New Roman" w:hAnsi="Times New Roman"/>
          <w:sz w:val="20"/>
        </w:rPr>
        <w:t xml:space="preserve">A: Yes. If you are a shareholder of record, you may revoke or change your vote at any time before your proxy is voted at the Special Meeting in one of four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following the instructions provided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and vote during the meeting. Simply attending the Special Meeting will not, by itself, revoke your proxy or change your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you should follow the instructions provided by your broker, bank or other agent to revoke or change your voting instructions.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the Special Meeting is adjourned or postponed? </w:t>
      </w:r>
    </w:p>
    <w:p>
      <w:pPr>
        <w:pStyle w:val="TextBody"/>
        <w:bidi w:val="0"/>
        <w:spacing w:before="120" w:after="0"/>
        <w:jc w:val="left"/>
        <w:rPr>
          <w:rFonts w:ascii="Times New Roman" w:hAnsi="Times New Roman"/>
          <w:sz w:val="20"/>
        </w:rPr>
      </w:pPr>
      <w:r>
        <w:rPr>
          <w:rFonts w:ascii="Times New Roman" w:hAnsi="Times New Roman"/>
          <w:sz w:val="20"/>
        </w:rPr>
        <w:t xml:space="preserve">A: If the Special Meeting is adjourned or postponed, your proxy will remain valid and may be voted at the adjourned or postponed meeting, and you will still be able to change or revoke your proxy until it is voted. If there are insufficient votes to approve Proposal No. 1 and Proposal No. 2 at the time of the Special Meeting, the chair of the Special Meeting may adjourn the Special Meeting, or your proxy may be voted by the persons named in the proxy to adjourn the Special Meeting, in each case in order to solicit additional proxies. In addition, the Company is asking shareholders to approve the Adjournment Proposal for that purpose. See the section titled “Proposal No. 3: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Q: Could other matters be decided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No matters other than the three proposals described in this proxy statement are expected to be presented at the Special Meeting. Under the Massachusetts Bylaws, business transacted at a special meeting of shareholders is limited to the purposes stated in the notice of the meeting. If any other matter should nonetheless properly come before the Special Meeting or any adjournment or postponement thereof, the persons named in the proxy will have authority to vote the shares represented by proxies in accordance with their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Q: Who is soliciting my proxy, and who is paying the cost of this solicitation? </w:t>
      </w:r>
    </w:p>
    <w:p>
      <w:pPr>
        <w:pStyle w:val="TextBody"/>
        <w:bidi w:val="0"/>
        <w:spacing w:before="120" w:after="0"/>
        <w:jc w:val="left"/>
        <w:rPr>
          <w:rFonts w:ascii="Times New Roman" w:hAnsi="Times New Roman"/>
          <w:sz w:val="20"/>
        </w:rPr>
      </w:pPr>
      <w:r>
        <w:rPr>
          <w:rFonts w:ascii="Times New Roman" w:hAnsi="Times New Roman"/>
          <w:sz w:val="20"/>
        </w:rPr>
        <w:t xml:space="preserve">A: The Board is soliciting your proxy for use at the Special Meeting and any adjournments or postponements thereof, and the Company will bear the entire cost of the solicitation, including the preparation, assembly,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printing, filing and mailing of this proxy statement and the accompanying proxy card. The Company has retained Innisfree M&amp;A Incorporated (“Innisfree”) as its proxy solicitor in connection with the Special Meeting. The Company will pay the fees of Innisfree, which the Company expects to be approximately $30,000, plus reimbursement for certain out-of-pocket expenses, and has agreed to indemnify Innisfree and related parties against certain liabilities and expenses arising out of its services in connection with the Special Meeting. The actual costs of any such engagement may be higher or lower than this estimate. In addition to solicitation by mail, the directors, officers and employees of the Company may solicit proxies from shareholders by personal interview, telephone, email, fax or otherwise, and will not receive additional compensation for those services. Arrangements will also be made with brokerage firms and other custodians, nominees and fiduciaries who are record holders of the Company’s common stock for the forwarding of solicitation materials to the beneficial owners of the Company’s common stock, and the Company will reimburse these brokers, custodians, nominees and fiduciaries for the reasonable out-of-pocket expenses they incur in connection with the forwarding of solicitation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does it mean if I receive more than one proxy card or voting instruction form? </w:t>
      </w:r>
    </w:p>
    <w:p>
      <w:pPr>
        <w:pStyle w:val="TextBody"/>
        <w:bidi w:val="0"/>
        <w:spacing w:before="120" w:after="0"/>
        <w:jc w:val="left"/>
        <w:rPr>
          <w:rFonts w:ascii="Times New Roman" w:hAnsi="Times New Roman"/>
          <w:sz w:val="20"/>
        </w:rPr>
      </w:pPr>
      <w:r>
        <w:rPr>
          <w:rFonts w:ascii="Times New Roman" w:hAnsi="Times New Roman"/>
          <w:sz w:val="20"/>
        </w:rPr>
        <w:t xml:space="preserve">A: If you receive more than one proxy card or voting instruction form, your shares are registered in more than one name or are registered in different accounts. Please complete, sign, date and return each proxy card and voting instruction form that you receive, or vote the shares represented by each by telephone or through the Internet,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Q: I share an address with another shareholder and received only one copy of the proxy materials. How may I obtain an additional copy? </w:t>
      </w:r>
    </w:p>
    <w:p>
      <w:pPr>
        <w:pStyle w:val="TextBody"/>
        <w:bidi w:val="0"/>
        <w:spacing w:before="120" w:after="0"/>
        <w:jc w:val="left"/>
        <w:rPr>
          <w:rFonts w:ascii="Times New Roman" w:hAnsi="Times New Roman"/>
          <w:sz w:val="20"/>
        </w:rPr>
      </w:pPr>
      <w:r>
        <w:rPr>
          <w:rFonts w:ascii="Times New Roman" w:hAnsi="Times New Roman"/>
          <w:sz w:val="20"/>
        </w:rPr>
        <w:t xml:space="preserve">A: Some brokers, banks and other agents, and in some cases the Company, may be participating in the practice of “householding” proxy materials, delivering a single copy of the proxy materials to multiple shareholders sharing an address unless contrary instructions have been received. The Company will promptly deliver a separate copy of this proxy statement to any shareholder at a shared address upon written or oral request directed to the Company at Korsana Biosciences, Inc., 203 Crescent Street, Bldgs. #3/3A/4, Suite 503, Waltham MA 02453, Attention: Corporate Secretary, telephone: (781) 516-2325. Shareholders who wish to receive separate copies of proxy materials in the future, or who are receiving multiple copies and wish to receive a single copy, should contact their broker, bank or other agent, or the Company at the address above. See the section titled “Householding of Proxy Materials”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Q: How can I find out the results of the 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Preliminary voting results will be announced at the Special Meeting. Final voting results will be published in a Current Report on Form 8-K that the Company expects to file with the SEC within four business days after the Special Meeting. If final voting results are not available at that time, the Company will publish preliminary results in the Form 8-K and will file an amendment to report the final results within four business days after they are known. </w:t>
      </w:r>
    </w:p>
    <w:p>
      <w:pPr>
        <w:pStyle w:val="TextBody"/>
        <w:bidi w:val="0"/>
        <w:spacing w:before="360" w:after="0"/>
        <w:jc w:val="left"/>
        <w:rPr>
          <w:rFonts w:ascii="Times New Roman" w:hAnsi="Times New Roman"/>
          <w:b/>
          <w:sz w:val="20"/>
        </w:rPr>
      </w:pPr>
      <w:r>
        <w:rPr>
          <w:rFonts w:ascii="Times New Roman" w:hAnsi="Times New Roman"/>
          <w:b/>
          <w:sz w:val="20"/>
        </w:rPr>
        <w:t xml:space="preserve">Q: How can I submit questions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During the Special Meeting, if you have your 12-digit control number and wish to ask a question, you may do so by clicking the Q&amp;A button on the virtual meeting platform and entering your question in the field provided in the web portal at or before the time the matters are before the Special Meeting for consideration. The Company will endeavor to answer as many shareholder-submitted questions as time permits that comply with the Special Meeting’s Rules of Conduct. The Company reserves the right to edit profanity or other inappropriate language and to exclude questions regarding topics that are not pertinent to meeting matters or Company business. If the Company receives substantially similar questions, it may group such questions together and provide a single response to avoid repetition.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Special Meeting will be governed by the Special Meeting’s Rules of Conduct, which will address the ability of shareholders to ask questions during the meeting and the rules for how questions will be recognized and addressed. Please review the Special Meeting’s Rules of Conduct for further details. The Special Meeting’s Rules of Conduct will be posted on www.proxydocs.com/KRSA approximately two weeks prior to the date of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Q: What if I have technical difficulties or trouble accessing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Technical support will be available beginning approximately 15 minutes prior to the start of the Special Meeting. If you encounter difficulties accessing the virtual Special Meeting during check-in or during the meeting, please call the technical support number that will be posted on the virtual meeting log-in page at www.proxydocs.com/KRSA. </w:t>
      </w:r>
    </w:p>
    <w:p>
      <w:pPr>
        <w:pStyle w:val="TextBody"/>
        <w:bidi w:val="0"/>
        <w:spacing w:before="360" w:after="0"/>
        <w:jc w:val="left"/>
        <w:rPr>
          <w:rFonts w:ascii="Times New Roman" w:hAnsi="Times New Roman"/>
          <w:b/>
          <w:sz w:val="20"/>
        </w:rPr>
      </w:pPr>
      <w:r>
        <w:rPr>
          <w:rFonts w:ascii="Times New Roman" w:hAnsi="Times New Roman"/>
          <w:b/>
          <w:sz w:val="20"/>
        </w:rPr>
        <w:t xml:space="preserve">Q: What do I need to do now? </w:t>
      </w:r>
    </w:p>
    <w:p>
      <w:pPr>
        <w:pStyle w:val="TextBody"/>
        <w:bidi w:val="0"/>
        <w:spacing w:before="120" w:after="0"/>
        <w:jc w:val="left"/>
        <w:rPr>
          <w:rFonts w:ascii="Times New Roman" w:hAnsi="Times New Roman"/>
          <w:sz w:val="20"/>
        </w:rPr>
      </w:pPr>
      <w:r>
        <w:rPr>
          <w:rFonts w:ascii="Times New Roman" w:hAnsi="Times New Roman"/>
          <w:sz w:val="20"/>
        </w:rPr>
        <w:t xml:space="preserve">A: The Company urges you to read this proxy statement carefully, including its annexes, and to consider how the Redomestication affects you. Then, whether or not you plan to attend the Special Meeting, please submit your proxy as promptly as possible by telephone or through the Internet, or complete, sign, date and return the enclosed proxy card, so that your shares may be voted at the Special Meeting. If your shares are held in street name, please provide voting instructions to your broker, bank or other agent so that your shares are voted on each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Q: Who can help answer my questions?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shareholder of the Company and would like additional copies of this proxy statement without charge, or if you have questions about the Special Meeting, the Redomestication or the other matters described in this proxy statement, including the procedures for voting your shares, you should contact the Company’s proxy solicitor: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825-8793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36079_5"/>
      <w:bookmarkEnd w:id="6"/>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contains forward-looking statements within the meaning of Section 27A of the Securities Act and Section 21E of the Exchange Act, including statements regarding the anticipated benefits of the Redomestication and the financial condition, results of operations, and prospects of the Company.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the Company’s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will be those that have been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In addition to other factors and matters contained in or incorporated by reference in this document, the Company believes the following factors could cause actual results to differ materially from those discussed in the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Domestication Proposal and the Continuation and Cayman Articles Proposal are not approved by the requisite votes of the Company’s shareholders, in which case the Redomestication will not be effected;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meet expectations regarding the timing and completion of the Redomestication, and uncertainties as to the timing and costs of the consummation of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anticipated benefits of the Redomestication, including a potential reduction in the risk and cost of shareholder demands and litigation, greater protection for the Company’s directors and officers, and greater flexibility in corporate transactions, may not be realized;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intended U.S. federal income tax treatment of the Redomestication, including its qualification as a “reorganization” within the meaning of Section 368(a)(1)(F)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Redomestication on the rights of the Company’s shareholders, which, if the Redomestication is effected, will be governed by Cayman Islands law and the Cayman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the Company for future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Company to recognize the benefits that may be derived from the Merger, including the commercial or market opportunity of the product candidates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CVR holders may never receive any proceeds under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Company’s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the Company or any of its respective directors or officers related to the Merger Agreement or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Company to protect its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Company’s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the Company’s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the Company’s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public securities’ potential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the Company’s product candidates or its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manufacture its product candidates in conformity with the Food and Drug Administration’s requirements and to scale up manufacturing of its product candidates to commercial scale,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regarding the capabilities and potential of the THETA platform and the Company’s pipeline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reliance on third-party contract development and manufacturer organizations to manufacture and supply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and the potential safety, efficacy and therapeutic effects of the Company’s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 with third parties and the Company’s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successfully commercialize product candidates, if approved, and the rate and degree of market acceptance of such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the Company’s competitors or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review of important factors that could cause actual events to differ from expectations should not be construed as exhaustive and should be read in conjunction with statements that are included herein and elsewhere, including other documents to be filed by the Company from time to time with the SEC, discussions of potential risks, uncertainties, and other important factors in the Company’s subsequent filings with the SEC, and risk factors associated with companies, such as the Company, that operate in the biopharma industry.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the Company could differ materially from the forward-looking statements. Any public statements or disclosures by the Company following this proxy statement that modify or impact any of the forward-looking statements contained in this proxy statement will be deemed to modify or supersede such statements in this proxy statement. You are cautioned not to place undue reliance on these forward-looking statements, which speak only as of the date of this document and are qualified in their entirety by reference to the cautionary statements herein. The Company does not intend, and undertakes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36079_6"/>
      <w:bookmarkEnd w:id="7"/>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shareholders of Korsana Biosciences, Inc. (the “Special Meeting”) will be held on November 13, 2026, commencing at 10:30 a.m., Eastern Time, unless postponed or adjourned to a later date. The Special Meeting will be held exclusively online. You will be able to attend and participate in the Special Meeting online by visiting www.proxydocs.com/KRSA, where you will be able to listen to the meeting live, submit questions and vote. The Company is sending this proxy statement to its shareholders in connection with the solicitation of proxies by the Board for use at the Special Meeting and any adjournments or postponements of the Special Meeting. This proxy statement is first being furnished to the Company’s shareholders on or about October 15, 2026. </w:t>
      </w:r>
    </w:p>
    <w:p>
      <w:pPr>
        <w:pStyle w:val="TextBody"/>
        <w:bidi w:val="0"/>
        <w:spacing w:before="240" w:after="0"/>
        <w:jc w:val="left"/>
        <w:rPr>
          <w:rFonts w:ascii="Times New Roman" w:hAnsi="Times New Roman"/>
          <w:sz w:val="20"/>
        </w:rPr>
      </w:pPr>
      <w:r>
        <w:rPr>
          <w:rFonts w:ascii="Times New Roman" w:hAnsi="Times New Roman"/>
          <w:sz w:val="20"/>
        </w:rPr>
        <w:t xml:space="preserve">To attend and participate in the Special Meeting, you will need the 12-digit control number included on your proxy card or on the instructions that accompanied your proxy materials. The meeting webcast will begin promptly at 10:30 a.m., Eastern Time. Online check-in will begin approximately 15 minutes before that time, and you should allow ample time for the check-in procedures. The Special Meeting will be governed by the Special Meeting’s Rules of Conduct, which will address the ability of shareholders to submit questions during the meeting and the rules for how questions will be recognized and addressed, and which will be posted on www.proxydocs.com/KRSA approximately two weeks prior to the date of the Special Meeting. If you experience technical difficulties during the check-in process or during the Special Meeting, please call the technical support number that will be posted on the virtual meeting log-in page.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Special Meeting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redomestication of the Company from the Commonwealth of Massachusetts to the Cayman Islands by domestication and to adopt the Redomestication Resolutions, attached as Annex E to this proxy statement (the “Domestication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redomestication of the Company from the Commonwealth of Massachusetts to the Cayman Islands by way of continuation and the approval of the Redomestication Resolutions and (ii) as a special resolution for the purposes of Cayman Islands law, the adoption of the memorandum and articles of association of the Company (the “Cayman Articles”), substantially in the form attached as Annex B to this proxy statement (the “Continuation and Cayman Articles Proposal” or “Proposal No. 2” and, together with Proposal No. 1, the “Redomestication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one or more adjournments of the Special Meeting, if necessary, to solicit additional proxies if there is not a sufficient number of votes in favor of the Domestication Proposal and the Continuation and Cayman Articles Proposal (the “Adjournment Proposal” or “Proposal No.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the redomestication of the Company from the Commonwealth of Massachusetts to the Cayman Islands, to be effected through a domestication pursuant to Section 9.20 of the MBCA and the transfer by way of continuation of the Company as an exempted company limited by shares under the Companies Act (As Revised) of the Cayman Islands, as the “Redomestication.” Approval of the Redomestication Proposal will also constitute approval of the Plan of Domestication, in the form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will be effected only if both the Domestication Proposal and the Continuation and Cayman Articles Proposal are approved by the requisite votes of the Company’s shareholders. If either the Domestication Proposal or the Continuation and Cayman Articles Proposal is not approved, the Redomestication will not be effected and the Company will remain a corporation organized under the laws of the Commonwealth of Massachusetts. The Redomestication is not conditioned on the approval of the Adjournment Proposal or on the completion of any other transaction, and approval of the Adjournment Proposal is not conditioned on the approval of the Domestication Proposal or the Continuation and Cayman Articles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Redomestication Proposal was previously submitted to the Company’s shareholders, as Proposal Nos. 4A and 4B, at the 2026 Annual Meeting. Although the proposal received the affirmative vote of a substantial majority of the votes cast at that meeting, it did not receive the affirmative vote of not less than two-thirds of all shares then outstanding and entitled to vote, as required for the domestication under Massachusetts law or the affirmative vote of not less than two-thirds of the votes properly cast by the holders of the Company required for a special resolution under Cayman Islands law. See the section titled “Proposal Nos. 1 and 2: The Redomestication Proposal” for additional information regarding the prior vote and the Board’s reasons for re-submitting the Redomestication Proposal. </w:t>
      </w:r>
    </w:p>
    <w:p>
      <w:pPr>
        <w:pStyle w:val="TextBody"/>
        <w:bidi w:val="0"/>
        <w:spacing w:before="240" w:after="0"/>
        <w:jc w:val="left"/>
        <w:rPr>
          <w:rFonts w:ascii="Times New Roman" w:hAnsi="Times New Roman"/>
          <w:sz w:val="20"/>
        </w:rPr>
      </w:pPr>
      <w:r>
        <w:rPr>
          <w:rFonts w:ascii="Times New Roman" w:hAnsi="Times New Roman"/>
          <w:sz w:val="20"/>
        </w:rPr>
        <w:t xml:space="preserve">Under the Massachusetts Bylaws, only the business set forth in the accompanying Notice of Special Meeting of Shareholders may be transacted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determined and believes that it is fair to, in the best interests of, and advisable to, the Company and its shareholders to approve (A) the redomestication of the Company from the Commonwealth of Massachusetts to the Cayman Islands by domestication and (B)(i) the redomestication of the Company from the Commonwealth of Massachusetts to the Cayman Islands by way of continuation and (ii) the adoption of the Cayman Articles, as described in this proxy statement. The Board recommends that the Company’s shareholders vote “FOR” the Domestication Proposal and “FOR” the Continuation and Cayman Articles Proposal as described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determined and believes that adjourning the Special Meeting, if necessary, to solicit additional proxies if there is not a sufficient number of votes in favor of the Domestication Proposal and the Continuation and Cayman Articles Proposal is fair to, in the best interests of, and advisable to, the Company and its shareholders and has approved and adopted the proposal. The Board recommends that the Company’s shareholders vote “FOR” the Adjournment Proposal as described in this proxy statement.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the Company’s common stock, no par value, at the close of business on the Record Date of October 7, 2026 are entitled to notice of, and to vote at, the Special Meeting. At the close of business on the Record Date, there were 89 registered holders of record of common stock and there were 45,541,358 shares of common stock issued and outstanding. Each share of common stock entitles the holder thereof to one vote on each matter submitted for shareholder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 is solicited on behalf of the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your shares were registered directly in your name with the transfer agent for the common stock, Computershare Trust Company, N.A., then you are a shareholder of record. As a shareholder of record, you may vote at the Special Meeting or vote by proxy. Whether or not you plan to attend the Special Meeting, we urge you to vote by proxy over the telephone or on the Internet as instructed below or return the proxy card we may mail to you to ensure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Special Meeting. Alternatively, you may vote by proxy by using the accompanying proxy card, over the Internet or by telephone. Whether or not you plan to attend the Special Meeting, the Company encourages you to vote by proxy to ensure your vote is counted. Even if you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submitted a proxy before the Special Meeting, you may still attend the Special Meeting and vote. In such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we may elect to deliver at a later time and return it promptly in the envelope provided. If you return your signed proxy card to the Company before the Special Meeting, we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telephone by calling the toll-free number found on the proxy card. Votes submitted by telephone must be received by 11:59 p.m. Eastern Time on November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Votes submitted over the Internet must be received by 11:59 p.m. Eastern Time on November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online during the Special Meeting by visiting www.proxydocs.com/KRSA and using the 12-digit control number included on your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the Company. Simply complete and mail the voting instruction card to ensure that your vote is counted.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Each of the proposals to be presented at the Special Meeting, including the Domestication Proposal, the Continuation and Cayman Articles Proposal and the Adjournment Proposal, is expected to be considered non-routine. Accordingly, if you hold your shares in street name and do not provide voting instructions to your broker, bank or other agent, your shares will not be voted on any proposal at the Special Meeting and will not be counted as present for purposes of determining the presence of a quorum, and the Company does not expect there to be any broker non-votes at the Special Meeting. Because approval of the Domestication Proposal requires the affirmative vote of not less than two-thirds of the shares entitled to vote on the proposal, a failure to instruct your broker, bank or other agent how to vote will have the same effect as a vote “AGAINST” the Domestication Proposal. As a result, the Company urges you to direct your broker, bank or other agent how to vote your shares on all proposals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Special Meeting and at any adjournments or postponements of the Special Meeting in accordance with the instructions contained in the proxy. If a holder of common stock executes and returns a proxy and does not specify otherwise, the shares represented by that proxy will be voted “FOR” each of the proposals in accordance with the recommendation of the Board. </w:t>
      </w:r>
    </w:p>
    <w:p>
      <w:pPr>
        <w:pStyle w:val="TextBody"/>
        <w:bidi w:val="0"/>
        <w:spacing w:before="360" w:after="0"/>
        <w:jc w:val="left"/>
        <w:rPr>
          <w:rFonts w:ascii="Times New Roman" w:hAnsi="Times New Roman"/>
          <w:i/>
          <w:sz w:val="20"/>
        </w:rPr>
      </w:pPr>
      <w:r>
        <w:rPr>
          <w:rFonts w:ascii="Times New Roman" w:hAnsi="Times New Roman"/>
          <w:i/>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revoke your proxy at any time before it is voted at the Special Meeting in any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card with a later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 later-dated proxy by telephone or over the Internet before 11:59 p.m. Eastern Time on November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deliver a written notice that you are revoking your proxy to the Company’s Corporate Secretary at the Company’s principal executive offices at 203 Crescent Street, Bldgs. #3/3A/4, Suite 503, Waltham, MA 02453;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online and vote during the meeting. Simply attending the Special Meeting will not, by itself, revoke your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recently submitted proxy is the one that will be counted. If your shares are held in street name by your broker, bank or other agent, you should follow the instructions provided by your broker, bank or other agent to revoke or change your voting instructions.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Special Meeting of the holders of a majority of the shares of common stock outstanding and entitled to vote at the Special Meeting is necessary to constitute a quorum at the meeting. Shares are counted as present at the Special Meeting if a shareholder attends the Special Meeting online or is represented at the Special Meeting by proxy. Abstentions will be counted towards the presence of a quorum. Because the Company does not expect any broker non-votes at the Special Meeting, as described above, shares held in street name for which no voting instructions have been received are not expected to be counted towards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The votes required to approve the proposals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not less than two-thirds of the shares entitled to vote on the subject matter at the Special Meeting, assuming a quorum is present, is required for approval of the Domestication Proposal (Proposal No. 1). Because this standard is measured against all shares of common stock outstanding and entitled to vote as of the Record Date, and not merely the votes cast at the Special Meeting, the affirmative vote of at least 30,360,906 shares of common stock, representing two-thirds of the 45,541,358 shares outstanding and entitled to vote as of the Record Date, is required to approve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not less than two-thirds of the votes properly cast by the holders of common stock in person or represented by proxy at the Special Meeting, assuming a quorum is present, is required for approval of the Continuation and Cayman Articles Proposal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affirmative votes exceeding the number of votes opposing the matter, assuming a quorum is present, is required for the approval of the Adjournment Proposal (Proposal No.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Special Meeting, who will separately count “FOR” and “AGAINST” votes, abstentions and broker non-votes, if any, as applicable to each proposal. </w:t>
      </w:r>
    </w:p>
    <w:p>
      <w:pPr>
        <w:pStyle w:val="TextBody"/>
        <w:bidi w:val="0"/>
        <w:spacing w:before="240" w:after="0"/>
        <w:jc w:val="left"/>
        <w:rPr>
          <w:rFonts w:ascii="Times New Roman" w:hAnsi="Times New Roman"/>
          <w:sz w:val="20"/>
        </w:rPr>
      </w:pPr>
      <w:r>
        <w:rPr>
          <w:rFonts w:ascii="Times New Roman" w:hAnsi="Times New Roman"/>
          <w:sz w:val="20"/>
        </w:rPr>
        <w:t xml:space="preserve">Abstentions will be counted towards the vote totals for each proposal and will have the same effect as a vote “AGAINST” Proposal No. 1. Because Proposal No. 2 requires the affirmative vote of not less than two-thirds of the votes properly cast, and Proposal No. 3 requires that the affirmative votes exceed the opposing votes, abstentions are not counted as votes cast and will have no effect on the outcome of Proposal No. 2 or Proposal No. 3. Broker non-votes, if any, will have the same effect as a vote “AGAINST” Proposal No. 1 and will have no effect on Proposal No. 2 or Proposal No. 3. If you are a shareholder of record and you do not vote by proxy or at the Special Meeting, your shares will not be voted, will not be counted towards the presence of a quorum, will have the same effect as a vote “AGAINST” Proposal No. 1 and will have no effect on Proposal No. 2 or Proposal No.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vote required for each proposal and the effects of abstentions, broker non-votes and failures to vote: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0"/>
        <w:gridCol w:w="205"/>
        <w:gridCol w:w="2293"/>
        <w:gridCol w:w="205"/>
        <w:gridCol w:w="2319"/>
        <w:gridCol w:w="120"/>
        <w:gridCol w:w="2393"/>
      </w:tblGrid>
      <w:tr>
        <w:trPr/>
        <w:tc>
          <w:tcPr>
            <w:tcW w:w="267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26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PROPOSAL</w:t>
            </w:r>
          </w:p>
        </w:tc>
        <w:tc>
          <w:tcPr>
            <w:tcW w:w="205" w:type="dxa"/>
            <w:tcBorders/>
            <w:vAlign w:val="bottom"/>
          </w:tcPr>
          <w:p>
            <w:pPr>
              <w:pStyle w:val="TableContents"/>
              <w:bidi w:val="0"/>
              <w:spacing w:before="0" w:after="283"/>
              <w:jc w:val="left"/>
              <w:rPr/>
            </w:pPr>
            <w:r>
              <w:rPr/>
              <w:t>  </w:t>
            </w:r>
          </w:p>
        </w:tc>
        <w:tc>
          <w:tcPr>
            <w:tcW w:w="22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VOTE REQUIRED</w:t>
            </w:r>
          </w:p>
        </w:tc>
        <w:tc>
          <w:tcPr>
            <w:tcW w:w="205" w:type="dxa"/>
            <w:tcBorders/>
            <w:vAlign w:val="bottom"/>
          </w:tcPr>
          <w:p>
            <w:pPr>
              <w:pStyle w:val="TableContents"/>
              <w:bidi w:val="0"/>
              <w:spacing w:before="0" w:after="283"/>
              <w:jc w:val="left"/>
              <w:rPr/>
            </w:pPr>
            <w:r>
              <w:rPr/>
              <w:t>  </w:t>
            </w:r>
          </w:p>
        </w:tc>
        <w:tc>
          <w:tcPr>
            <w:tcW w:w="23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EFFECT OF</w:t>
              <w:br/>
              <w:t>ABSTENTIONS</w:t>
            </w:r>
          </w:p>
        </w:tc>
        <w:tc>
          <w:tcPr>
            <w:tcW w:w="120" w:type="dxa"/>
            <w:tcBorders/>
            <w:vAlign w:val="bottom"/>
          </w:tcPr>
          <w:p>
            <w:pPr>
              <w:pStyle w:val="TableContents"/>
              <w:bidi w:val="0"/>
              <w:spacing w:before="0" w:after="283"/>
              <w:jc w:val="left"/>
              <w:rPr/>
            </w:pPr>
            <w:r>
              <w:rPr/>
              <w:t>  </w:t>
            </w:r>
          </w:p>
        </w:tc>
        <w:tc>
          <w:tcPr>
            <w:tcW w:w="23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EFFECT OF BROKER</w:t>
              <w:br/>
              <w:t>NON-VOTES (IF ANY)</w:t>
              <w:br/>
              <w:t>AND FAILURES TO VOTE</w:t>
            </w:r>
          </w:p>
        </w:tc>
      </w:tr>
      <w:tr>
        <w:trPr>
          <w:trHeight w:val="120" w:hRule="atLeast"/>
        </w:trPr>
        <w:tc>
          <w:tcPr>
            <w:tcW w:w="2670" w:type="dxa"/>
            <w:tcBorders/>
            <w:vAlign w:val="center"/>
          </w:tcPr>
          <w:p>
            <w:pPr>
              <w:pStyle w:val="TableContents"/>
              <w:bidi w:val="0"/>
              <w:spacing w:before="0" w:after="283"/>
              <w:jc w:val="left"/>
              <w:rPr>
                <w:sz w:val="4"/>
                <w:szCs w:val="4"/>
              </w:rPr>
            </w:pPr>
            <w:r>
              <w:rPr>
                <w:sz w:val="4"/>
                <w:szCs w:val="4"/>
              </w:rPr>
            </w:r>
          </w:p>
        </w:tc>
        <w:tc>
          <w:tcPr>
            <w:tcW w:w="2498" w:type="dxa"/>
            <w:gridSpan w:val="2"/>
            <w:tcBorders/>
            <w:vAlign w:val="center"/>
          </w:tcPr>
          <w:p>
            <w:pPr>
              <w:pStyle w:val="TableContents"/>
              <w:bidi w:val="0"/>
              <w:spacing w:before="0" w:after="283"/>
              <w:jc w:val="left"/>
              <w:rPr>
                <w:sz w:val="4"/>
                <w:szCs w:val="4"/>
              </w:rPr>
            </w:pPr>
            <w:r>
              <w:rPr>
                <w:sz w:val="4"/>
                <w:szCs w:val="4"/>
              </w:rPr>
            </w:r>
          </w:p>
        </w:tc>
        <w:tc>
          <w:tcPr>
            <w:tcW w:w="2524" w:type="dxa"/>
            <w:gridSpan w:val="2"/>
            <w:tcBorders/>
            <w:vAlign w:val="center"/>
          </w:tcPr>
          <w:p>
            <w:pPr>
              <w:pStyle w:val="TableContents"/>
              <w:bidi w:val="0"/>
              <w:spacing w:before="0" w:after="283"/>
              <w:jc w:val="left"/>
              <w:rPr>
                <w:sz w:val="4"/>
                <w:szCs w:val="4"/>
              </w:rPr>
            </w:pPr>
            <w:r>
              <w:rPr>
                <w:sz w:val="4"/>
                <w:szCs w:val="4"/>
              </w:rPr>
            </w:r>
          </w:p>
        </w:tc>
        <w:tc>
          <w:tcPr>
            <w:tcW w:w="2513" w:type="dxa"/>
            <w:gridSpan w:val="2"/>
            <w:tcBorders/>
            <w:vAlign w:val="center"/>
          </w:tcPr>
          <w:p>
            <w:pPr>
              <w:pStyle w:val="TableContents"/>
              <w:bidi w:val="0"/>
              <w:spacing w:before="0" w:after="283"/>
              <w:jc w:val="left"/>
              <w:rPr>
                <w:sz w:val="4"/>
                <w:szCs w:val="4"/>
              </w:rPr>
            </w:pPr>
            <w:r>
              <w:rPr>
                <w:sz w:val="4"/>
                <w:szCs w:val="4"/>
              </w:rPr>
            </w:r>
          </w:p>
        </w:tc>
      </w:tr>
      <w:tr>
        <w:trPr/>
        <w:tc>
          <w:tcPr>
            <w:tcW w:w="2670" w:type="dxa"/>
            <w:tcBorders/>
          </w:tcPr>
          <w:p>
            <w:pPr>
              <w:pStyle w:val="TableContents"/>
              <w:bidi w:val="0"/>
              <w:spacing w:before="0" w:after="283"/>
              <w:jc w:val="left"/>
              <w:rPr/>
            </w:pPr>
            <w:r>
              <w:rPr/>
              <w:t>No. 1: Domestication Proposal</w:t>
            </w:r>
          </w:p>
        </w:tc>
        <w:tc>
          <w:tcPr>
            <w:tcW w:w="205" w:type="dxa"/>
            <w:tcBorders/>
            <w:vAlign w:val="bottom"/>
          </w:tcPr>
          <w:p>
            <w:pPr>
              <w:pStyle w:val="TableContents"/>
              <w:bidi w:val="0"/>
              <w:spacing w:before="0" w:after="283"/>
              <w:jc w:val="left"/>
              <w:rPr/>
            </w:pPr>
            <w:r>
              <w:rPr/>
              <w:t>  </w:t>
            </w:r>
          </w:p>
        </w:tc>
        <w:tc>
          <w:tcPr>
            <w:tcW w:w="2293" w:type="dxa"/>
            <w:tcBorders/>
          </w:tcPr>
          <w:p>
            <w:pPr>
              <w:pStyle w:val="TableContents"/>
              <w:bidi w:val="0"/>
              <w:spacing w:before="0" w:after="283"/>
              <w:jc w:val="left"/>
              <w:rPr/>
            </w:pPr>
            <w:r>
              <w:rPr/>
              <w:t>Not less than two-thirds of the shares entitled to vote on the subject matter</w:t>
            </w:r>
          </w:p>
        </w:tc>
        <w:tc>
          <w:tcPr>
            <w:tcW w:w="205"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left"/>
              <w:rPr/>
            </w:pPr>
            <w:r>
              <w:rPr/>
              <w:t>Same effect as a vote “AGAINST”</w:t>
            </w:r>
          </w:p>
        </w:tc>
        <w:tc>
          <w:tcPr>
            <w:tcW w:w="120"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pPr>
            <w:r>
              <w:rPr/>
              <w:t>Same effect as a vote “AGAINST”</w:t>
            </w:r>
          </w:p>
        </w:tc>
      </w:tr>
      <w:tr>
        <w:trPr>
          <w:trHeight w:val="120" w:hRule="atLeast"/>
        </w:trPr>
        <w:tc>
          <w:tcPr>
            <w:tcW w:w="2670" w:type="dxa"/>
            <w:tcBorders/>
            <w:vAlign w:val="center"/>
          </w:tcPr>
          <w:p>
            <w:pPr>
              <w:pStyle w:val="TableContents"/>
              <w:bidi w:val="0"/>
              <w:spacing w:before="0" w:after="283"/>
              <w:jc w:val="left"/>
              <w:rPr>
                <w:sz w:val="4"/>
                <w:szCs w:val="4"/>
              </w:rPr>
            </w:pPr>
            <w:r>
              <w:rPr>
                <w:sz w:val="4"/>
                <w:szCs w:val="4"/>
              </w:rPr>
            </w:r>
          </w:p>
        </w:tc>
        <w:tc>
          <w:tcPr>
            <w:tcW w:w="2498" w:type="dxa"/>
            <w:gridSpan w:val="2"/>
            <w:tcBorders/>
            <w:vAlign w:val="center"/>
          </w:tcPr>
          <w:p>
            <w:pPr>
              <w:pStyle w:val="TableContents"/>
              <w:bidi w:val="0"/>
              <w:spacing w:before="0" w:after="283"/>
              <w:jc w:val="left"/>
              <w:rPr>
                <w:sz w:val="4"/>
                <w:szCs w:val="4"/>
              </w:rPr>
            </w:pPr>
            <w:r>
              <w:rPr>
                <w:sz w:val="4"/>
                <w:szCs w:val="4"/>
              </w:rPr>
            </w:r>
          </w:p>
        </w:tc>
        <w:tc>
          <w:tcPr>
            <w:tcW w:w="2524" w:type="dxa"/>
            <w:gridSpan w:val="2"/>
            <w:tcBorders/>
            <w:vAlign w:val="center"/>
          </w:tcPr>
          <w:p>
            <w:pPr>
              <w:pStyle w:val="TableContents"/>
              <w:bidi w:val="0"/>
              <w:spacing w:before="0" w:after="283"/>
              <w:jc w:val="left"/>
              <w:rPr>
                <w:sz w:val="4"/>
                <w:szCs w:val="4"/>
              </w:rPr>
            </w:pPr>
            <w:r>
              <w:rPr>
                <w:sz w:val="4"/>
                <w:szCs w:val="4"/>
              </w:rPr>
            </w:r>
          </w:p>
        </w:tc>
        <w:tc>
          <w:tcPr>
            <w:tcW w:w="2513" w:type="dxa"/>
            <w:gridSpan w:val="2"/>
            <w:tcBorders/>
            <w:vAlign w:val="center"/>
          </w:tcPr>
          <w:p>
            <w:pPr>
              <w:pStyle w:val="TableContents"/>
              <w:bidi w:val="0"/>
              <w:spacing w:before="0" w:after="283"/>
              <w:jc w:val="left"/>
              <w:rPr>
                <w:sz w:val="4"/>
                <w:szCs w:val="4"/>
              </w:rPr>
            </w:pPr>
            <w:r>
              <w:rPr>
                <w:sz w:val="4"/>
                <w:szCs w:val="4"/>
              </w:rPr>
            </w:r>
          </w:p>
        </w:tc>
      </w:tr>
      <w:tr>
        <w:trPr/>
        <w:tc>
          <w:tcPr>
            <w:tcW w:w="2670" w:type="dxa"/>
            <w:tcBorders/>
          </w:tcPr>
          <w:p>
            <w:pPr>
              <w:pStyle w:val="TableContents"/>
              <w:bidi w:val="0"/>
              <w:spacing w:before="0" w:after="283"/>
              <w:jc w:val="left"/>
              <w:rPr/>
            </w:pPr>
            <w:r>
              <w:rPr/>
              <w:t>No. 2: Continuation and Cayman Articles Proposal</w:t>
            </w:r>
          </w:p>
        </w:tc>
        <w:tc>
          <w:tcPr>
            <w:tcW w:w="205" w:type="dxa"/>
            <w:tcBorders/>
            <w:vAlign w:val="bottom"/>
          </w:tcPr>
          <w:p>
            <w:pPr>
              <w:pStyle w:val="TableContents"/>
              <w:bidi w:val="0"/>
              <w:spacing w:before="0" w:after="283"/>
              <w:jc w:val="left"/>
              <w:rPr/>
            </w:pPr>
            <w:r>
              <w:rPr/>
              <w:t>  </w:t>
            </w:r>
          </w:p>
        </w:tc>
        <w:tc>
          <w:tcPr>
            <w:tcW w:w="2293" w:type="dxa"/>
            <w:tcBorders/>
          </w:tcPr>
          <w:p>
            <w:pPr>
              <w:pStyle w:val="TableContents"/>
              <w:bidi w:val="0"/>
              <w:spacing w:before="0" w:after="283"/>
              <w:jc w:val="left"/>
              <w:rPr/>
            </w:pPr>
            <w:r>
              <w:rPr/>
              <w:t>Not less than two-thirds of the votes properly cast</w:t>
            </w:r>
          </w:p>
        </w:tc>
        <w:tc>
          <w:tcPr>
            <w:tcW w:w="205"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left"/>
              <w:rPr/>
            </w:pPr>
            <w:r>
              <w:rPr/>
              <w:t>No effect (not counted as votes cast)</w:t>
            </w:r>
          </w:p>
        </w:tc>
        <w:tc>
          <w:tcPr>
            <w:tcW w:w="120"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pPr>
            <w:r>
              <w:rPr/>
              <w:t>No effect (not counted as votes cast)</w:t>
            </w:r>
          </w:p>
        </w:tc>
      </w:tr>
      <w:tr>
        <w:trPr>
          <w:trHeight w:val="120" w:hRule="atLeast"/>
        </w:trPr>
        <w:tc>
          <w:tcPr>
            <w:tcW w:w="2670" w:type="dxa"/>
            <w:tcBorders/>
            <w:vAlign w:val="center"/>
          </w:tcPr>
          <w:p>
            <w:pPr>
              <w:pStyle w:val="TableContents"/>
              <w:bidi w:val="0"/>
              <w:spacing w:before="0" w:after="283"/>
              <w:jc w:val="left"/>
              <w:rPr>
                <w:sz w:val="4"/>
                <w:szCs w:val="4"/>
              </w:rPr>
            </w:pPr>
            <w:r>
              <w:rPr>
                <w:sz w:val="4"/>
                <w:szCs w:val="4"/>
              </w:rPr>
            </w:r>
          </w:p>
        </w:tc>
        <w:tc>
          <w:tcPr>
            <w:tcW w:w="2498" w:type="dxa"/>
            <w:gridSpan w:val="2"/>
            <w:tcBorders/>
            <w:vAlign w:val="center"/>
          </w:tcPr>
          <w:p>
            <w:pPr>
              <w:pStyle w:val="TableContents"/>
              <w:bidi w:val="0"/>
              <w:spacing w:before="0" w:after="283"/>
              <w:jc w:val="left"/>
              <w:rPr>
                <w:sz w:val="4"/>
                <w:szCs w:val="4"/>
              </w:rPr>
            </w:pPr>
            <w:r>
              <w:rPr>
                <w:sz w:val="4"/>
                <w:szCs w:val="4"/>
              </w:rPr>
            </w:r>
          </w:p>
        </w:tc>
        <w:tc>
          <w:tcPr>
            <w:tcW w:w="2524" w:type="dxa"/>
            <w:gridSpan w:val="2"/>
            <w:tcBorders/>
            <w:vAlign w:val="center"/>
          </w:tcPr>
          <w:p>
            <w:pPr>
              <w:pStyle w:val="TableContents"/>
              <w:bidi w:val="0"/>
              <w:spacing w:before="0" w:after="283"/>
              <w:jc w:val="left"/>
              <w:rPr>
                <w:sz w:val="4"/>
                <w:szCs w:val="4"/>
              </w:rPr>
            </w:pPr>
            <w:r>
              <w:rPr>
                <w:sz w:val="4"/>
                <w:szCs w:val="4"/>
              </w:rPr>
            </w:r>
          </w:p>
        </w:tc>
        <w:tc>
          <w:tcPr>
            <w:tcW w:w="2513" w:type="dxa"/>
            <w:gridSpan w:val="2"/>
            <w:tcBorders/>
            <w:vAlign w:val="center"/>
          </w:tcPr>
          <w:p>
            <w:pPr>
              <w:pStyle w:val="TableContents"/>
              <w:bidi w:val="0"/>
              <w:spacing w:before="0" w:after="283"/>
              <w:jc w:val="left"/>
              <w:rPr>
                <w:sz w:val="4"/>
                <w:szCs w:val="4"/>
              </w:rPr>
            </w:pPr>
            <w:r>
              <w:rPr>
                <w:sz w:val="4"/>
                <w:szCs w:val="4"/>
              </w:rPr>
            </w:r>
          </w:p>
        </w:tc>
      </w:tr>
      <w:tr>
        <w:trPr/>
        <w:tc>
          <w:tcPr>
            <w:tcW w:w="2670" w:type="dxa"/>
            <w:tcBorders/>
          </w:tcPr>
          <w:p>
            <w:pPr>
              <w:pStyle w:val="TableContents"/>
              <w:bidi w:val="0"/>
              <w:spacing w:before="0" w:after="283"/>
              <w:jc w:val="left"/>
              <w:rPr/>
            </w:pPr>
            <w:r>
              <w:rPr/>
              <w:t>No. 3: Adjournment Proposal</w:t>
            </w:r>
          </w:p>
        </w:tc>
        <w:tc>
          <w:tcPr>
            <w:tcW w:w="205" w:type="dxa"/>
            <w:tcBorders/>
            <w:vAlign w:val="bottom"/>
          </w:tcPr>
          <w:p>
            <w:pPr>
              <w:pStyle w:val="TableContents"/>
              <w:bidi w:val="0"/>
              <w:spacing w:before="0" w:after="283"/>
              <w:jc w:val="left"/>
              <w:rPr/>
            </w:pPr>
            <w:r>
              <w:rPr/>
              <w:t>  </w:t>
            </w:r>
          </w:p>
        </w:tc>
        <w:tc>
          <w:tcPr>
            <w:tcW w:w="2293" w:type="dxa"/>
            <w:tcBorders/>
          </w:tcPr>
          <w:p>
            <w:pPr>
              <w:pStyle w:val="TableContents"/>
              <w:bidi w:val="0"/>
              <w:spacing w:before="0" w:after="283"/>
              <w:jc w:val="left"/>
              <w:rPr/>
            </w:pPr>
            <w:r>
              <w:rPr/>
              <w:t>Affirmative votes exceeding opposing votes</w:t>
            </w:r>
          </w:p>
        </w:tc>
        <w:tc>
          <w:tcPr>
            <w:tcW w:w="205"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left"/>
              <w:rPr/>
            </w:pPr>
            <w:r>
              <w:rPr/>
              <w:t>No effect (not counted as votes cast)</w:t>
            </w:r>
          </w:p>
        </w:tc>
        <w:tc>
          <w:tcPr>
            <w:tcW w:w="120"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pPr>
            <w:r>
              <w:rPr/>
              <w:t>No effect (not counted as votes cast)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Redomestication will not be effected unless both Proposal No. 1 and Proposal No. 2 are approved by the requisite votes described above. Therefore, if either Proposal No. 1 or Proposal No. 2 is not approved, the Redomestication will not be effected, even if the other proposal is approved by the Company’s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Adjournment and Postponement </w:t>
      </w:r>
    </w:p>
    <w:p>
      <w:pPr>
        <w:pStyle w:val="TextBody"/>
        <w:bidi w:val="0"/>
        <w:spacing w:before="120" w:after="0"/>
        <w:jc w:val="left"/>
        <w:rPr>
          <w:rFonts w:ascii="Times New Roman" w:hAnsi="Times New Roman"/>
          <w:sz w:val="20"/>
        </w:rPr>
      </w:pPr>
      <w:r>
        <w:rPr>
          <w:rFonts w:ascii="Times New Roman" w:hAnsi="Times New Roman"/>
          <w:sz w:val="20"/>
        </w:rPr>
        <w:t xml:space="preserve">If there are insufficient votes at the time of the Special Meeting to approve Proposal No. 1 and Proposal No. 2, the chairman of the Special Meeting may adjourn the Special Meeting, or the Company may ask its shareholders to approve the Adjournment Proposal, in order to permit the further solicitation of proxies. In addition, the proxy card confers discretionary authority on the persons named as proxies to vote the shares represented thereby in favor of any adjournment or postponement 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the Special Meeting is adjourned, the Company is not required to give notice of the time and place of the adjourned meeting if they are announced at the Special Meeting, unless a new record date is or must be fixed for the adjourned meeting in accordance with the Company’s bylaws and applicable law. At any adjourned meeting at which a quorum is present, any business may be transacted that might have been transacted at the Special Meeting as originally convened. All proxies that have been properly submitted and not revoked will continue to be voted at any adjournment or postponement of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the Company may solicit proxies from the Company’s shareholders by personal interview, telephone, email, fax or otherwise. Directors, officers and employees of the Company will not receive any additional compensation for these solicitation activities. The Company will bear the costs of printing, filing and mailing this proxy statement and the accompanying proxy card. Arrangements will also be made with brokerage firms and other custodians, nominees and fiduciaries who are record holders of common stock for the forwarding of solicitation materials to the beneficial owners of common stock. The Company will reimburse these brokers, custodians, nominees and fiduciaries for the reasonable out-of-pocket expenses they incur in connection with the forwarding of solicitation materials.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retained Innisfree as its proxy solicitor. The Company will pay the fees of Innisfree, which the Company expects to be approximately $30,000, plus reimbursement for certain out-of-pocket expenses. The Company has agreed to indemnify Innisfree and related parties against certain liabilities and expenses arising out of its services in connection with the Special Meeting. The actual costs of any such engagement may be higher or lower than this estimate.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not entitled to appraisal rights, dissenters’ rights or similar rights of an objecting shareholder under Massachusetts law with respect to the Redomestication or the other matters to be voted on at the Special Meeting. See the section titled “Proposal Nos. 1 and 2: The Redomestication Proposal” under the heading “Appraisal Rights”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Special Meeting. Final voting results will be reported in a Current Report on Form 8-K that the Company expects to file with the SEC within four business days after the Special Meeting. If the Special Meeting is adjourned, the Company expects to file a Current Report on Form 8-K reporting the final voting results within four business days after the date on which the adjourned meeting concludes.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36079_7"/>
      <w:bookmarkEnd w:id="8"/>
      <w:r>
        <w:rPr>
          <w:rFonts w:ascii="Times New Roman" w:hAnsi="Times New Roman"/>
          <w:b/>
          <w:sz w:val="20"/>
        </w:rPr>
        <w:t xml:space="preserve">PROPOSAL NOS. 1 AND 2: THE REDOMESTICATION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the Company’s shareholders will be asked to approve (i) pursuant to the MBCA, the domestication of the Company from a corporation organized under the laws of the Commonwealth of Massachusetts (the “Massachusetts Corporation”) to an exempted company incorporated under the laws of the Cayman Islands (the “Cayman Company”) and to adopt resolutions approving the domestication (the “Redomestication Resolutions”), attached as Annex E to this proxy statement (Proposal No. 1, the “Domestication Proposal”), and (ii) pursuant to the Companies Act, the transfer by way of continuation of the Company from the Massachusetts Corporation to the Cayman Company and to adopt the Redomestication Resolutions and, as a special resolution, the Cayman Articles (Proposal No. 2, the “Continuation and Cayman Articles Proposal”), each as more fully described in this section. The proposed domestication of the Massachusetts Corporation to a Cayman Company pursuant to Proposal Nos. 1 and 2 is referred to in this proxy statement as the “Redomestication,” and Proposal Nos. 1 and 2 are referred to together as the “Redomestication Proposal.” </w:t>
      </w:r>
    </w:p>
    <w:p>
      <w:pPr>
        <w:pStyle w:val="TextBody"/>
        <w:bidi w:val="0"/>
        <w:spacing w:before="360" w:after="0"/>
        <w:jc w:val="left"/>
        <w:rPr>
          <w:rFonts w:ascii="Times New Roman" w:hAnsi="Times New Roman"/>
          <w:b/>
          <w:sz w:val="20"/>
        </w:rPr>
      </w:pPr>
      <w:bookmarkStart w:id="9" w:name="tx36079_8"/>
      <w:bookmarkEnd w:id="9"/>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entered into the Merger Agreement with Legacy Korsana, First Merger Sub and Second Merger Sub. On September 8, 2026, upon the terms and subject to the conditions of the Merger Agreement, First Merger Sub merged with and into Legacy Korsana, with Legacy Korsana continuing as a wholly owned subsidiary of the Company and the surviving corporation of the merger, and Legacy Korsana then merged with and into Second Merger Sub, with Second Merger Sub being the surviving entity. In connection with the closing of the Merger, the Company changed its name to “Korsana Biosciences, Inc.,” Second Merger Sub changed its name to “Korsana Biosciences Operating Company, LLC,” and a private placement financing of the Company’s securities closed concurrently with the Merger. Immediately prior to the closing of the Merger, the Company effected a 1-for-7 reverse stock split of its issued and outstanding common stock. The Company’s common stock commenced trading on the Nasdaq Capital Market on a split-adjusted, post-Merger basis under the name “Korsana Biosciences, Inc.” and the ticker symbol “KRSA” at the open of trading on 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At the 2026 Annual Meeting, the Company’s shareholders were asked to approve the Redomestication as Proposal No. 4 in the proxy materials for the 2026 Annual Meeting, comprising Proposal No. 4A, relating to the domestication of the Company from the Commonwealth of Massachusetts to the Cayman Islands pursuant to the MBCA, and Proposal No. 4B, relating to the transfer by way of continuation pursuant to the Companies Act and the adoption, as a special resolution, of the memorandum and articles of association of the Company. Approval of the Redomestication was not a condition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As of July 17, 2026, the record date for the 2026 Annual Meeting, 4,681,351 shares of the Company’s common stock were outstanding and entitled to vote, and 3,896,779 shares were represented in person or by proxy at the 2026 Annual Meeting, which number constituted a quorum. Approval of Proposal No. 4A required the affirmative vote of not less than two-thirds of the shares entitled to vote on the proposal, and approval of Proposal No. 4B required the affirmative vote of not less than two-thirds of the votes properly cast. Although the redomestication proposal received the affirmative vote of approximately 61.8% of the votes cast, the “FOR” votes represented only approximately 44.8% of the shares of common stock then outstanding and entitled to vote, which was less than the two-thirds of the shares entitled to vote required for approval of Proposal No. 4A under the applicable Massachusetts voting standard. The proposal also failed to receive the requisite two-thirds majority of votes properly cast required for Proposal No. 4B to be approved as a special resolution under Cayman Islands law. Accordingly, the redomestication proposal was not approved, the Redomestication was not effected, and the Company remained a Massachusetts corporation following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2026 Annual Meeting and the closing of the Merger, the Board considered the outcome of the vote on the redomestication proposal, including the fact that the proposal received the support of a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the votes cast at the 2026 Annual Meeting but, as a result of overall shareholder turnout, fell short of the required two-thirds of all shares then outstanding and entitled to vote. The Board continues to believe that the Redomestication is advisable and in the best interests of the Company and its shareholders, for the reasons described below under “Reasons for the Redomestication.” On October 5, 2026, the Board approved the resubmission of the Redomestication to the Company’s shareholders and directed that the Redomestication Resolutions, the Plan of Domestication and the Cayman Articles be submitted to the Company’s shareholders for approval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Proposal No. 1 requires the affirmative vote of not less than two-thirds of all shares entitled to vote on the proposal, and not merely two-thirds of the votes cast, every share that is not voted at the Special Meeting will have the same effect as a vote “AGAINST” Proposal No. 1. The Board therefore urges all shareholders to submit a proxy or voting instructions as promptly as possible, whether or not they plan to attend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Terms of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If the Redomestication is approved by the Company’s shareholders, the Redomestication will be effected by the Company through a domestication pursuant to Section 9.20 of the MBCA, and the Cayman Company will continue its existence as an exempted company limited by shares under the Companies Act, as set forth in the Plan of Domestication, included as Annex A to this proxy statement. Approval of the Redomestication Proposal will constitute approval of the Plan of 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Through the adoption of the Plan of Domestication, upon the effectuation of the Redomestication: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continue its existence as a Cayman Islands exempted company and will continue to operate its business under the name “Korsana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internal affairs of the Company will cease to be governed by Massachusetts law and will instead be governed by Cayman Islands law (including but not limited to the Companies Act). See “Effects of the Redomestication — Comparison of Shareholder Rights under Massachusetts Law and Cayman Islands Law”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cease to be governed by the Massachusetts Articles and the Massachusetts Bylaws and will instead be governed by the Cayman Articles, the form of which is included as Annex B to this proxy statement. See “Effects of the Redomestication — Comparison of Rights of Holders of the Massachusetts Corporation Capital Stock and the Cayman Company Share Capital”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Redomestication will not result in any change in the Company’s business, management, obligations, assets, or liabilities (other than as a result of the transaction costs related to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continue to be treated as a U.S. corporation for all purposes under the Code. See “Material U.S. Federal Income Tax Considerations of the Redomestication — U.S. Tax Status of the Cayman Company after the Redomestication”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common stock of the Massachusetts Corporation will be automatically converted into one Cayman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any series of the preferred stock of the Massachusetts Corporation will be automatically converted into one share of the corresponding series of the preferred shares of the Cayman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of the Company will not be required to exchange their existing stock certificates (if any) for new share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option or right to acquire shares of common stock of the Massachusetts Corporation will continue in existence in the form of and will automatically become an option or right to acquire an equal number of Cayman Shares under the same terms and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warrant to purchase shares of common stock of the Massachusetts Corporation, including each pre-funded warrant issued in connection with the private placement financing that closed concurrently with the Merger, will continue in existence and will automatically become a warrant to purchase an equal number of Cayman Shares under the same terms and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CVRs issued to the Company’s pre-Merger shareholders pursuant to the CVR Agreement are contractual obligations of the Company and will not be affected by the Redomestication. Following the Redomestication, the CVR Agreement will remain an obligation of the Company as the same continuing entity, and the Redomestication will not result in any change to the terms of the CVRs or the rights of the holders of CVRs under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Cayman Shares resulting from the Redomestication will continue to be traded on Nasdaq under the symbol “KRSA.” The Redomestication is not expected to cause any interruption in the trading of such Cayman Shares.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Company’s shareholders approve the Redomestication, the Company anticipates that the Redomestication will become effective as soon as practicable following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is conditioned on the approval of both Proposal No. 1 and Proposal No. 2. If either Proposal No. 1 or Proposal No. 2 is not approved by the requisite vote of the Company’s shareholders, the Redomestication will not be effected, even if the other proposal is approved. The Redomestication is not conditioned on the approval of Proposal No. 3.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may be delayed by the Board, or the Plan of Domestication may be terminated and abandoned by action of the Board, at any time prior to the Redomestication Effective Time, whether before or after the approval by the Company’s shareholders, if the Board determines for any reason that such delay or abandonment would be in the best interests of the Company and its shareholders. In addition, the Company may face legal challenges to the Redomestication, including, among others, shareholder challenges under Massachusetts law, seeking to delay or prevent the Redomestication. </w:t>
      </w:r>
    </w:p>
    <w:p>
      <w:pPr>
        <w:pStyle w:val="TextBody"/>
        <w:bidi w:val="0"/>
        <w:spacing w:before="360" w:after="0"/>
        <w:jc w:val="left"/>
        <w:rPr>
          <w:rFonts w:ascii="Times New Roman" w:hAnsi="Times New Roman"/>
          <w:b/>
          <w:sz w:val="20"/>
        </w:rPr>
      </w:pPr>
      <w:bookmarkStart w:id="10" w:name="tx36079_9"/>
      <w:bookmarkEnd w:id="10"/>
      <w:r>
        <w:rPr>
          <w:rFonts w:ascii="Times New Roman" w:hAnsi="Times New Roman"/>
          <w:b/>
          <w:sz w:val="20"/>
        </w:rPr>
        <w:t xml:space="preserve">Reasons for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there are several reasons the Redomestication is in the best interests of the Company and its shareholders. In particular, the Board believes that the Redomestication will allow the Company to take advantage of certain provisions of the corporate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will potentially reduce the risk of opportunistic and frivolous shareholder demands and litigation for the Company and its directors and officers, which may allow the Company’s directors and officers to focus on the Company’s business and save it the cost of such demands and litigation. The frequency and cost of claims directed towards directors and officers of Massachusetts corporations increases the risk facing directors and officers of public companies in exercising their duties. If the Company were to be targeted by opportunistic and frivolous shareholder demands or lawsuits, the costs or other consequences of responding to or defending such claims could potentially be borne by the Company’s shareholders through, among other things, indemnification obligations, distraction to the Company’s management and employees, and increased insurance premiums. The Board expects fewer opportunistic and frivolous books and records inspection demands under Cayman Islands law as shareholders generally do not have statutory rights to inspect or obtain copies of the register of shareholders or other corporate records under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will potentially provide the Company’s directors and officers with greater protection, which may help the Company attract and retain highly qualified management personnel. Massachusetts law generally authorizes a corporation to adopt provisions eliminating or limiting the personal liability of directors or officers to the corporation for monetary damages for breach of fiduciary duty, except for liability for any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director’s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In most cases, 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derivative action on behalf of the Cayman Company, but only in limited circumstances, including but not limited to: the Cayman Company acts or proposes to act illegally or ultra vires; the act complained of (although not ultra vires) could be effected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In light of the above, the Redomestication is expected to limit the circumstances in which direct claims may be brought by shareholders against the directors and officers of the Cayman Company as a matter of Cayman Islands law. There is currently no known pending claim or litigation against any of the Company’s directors or officers for breach of fiduciary duty related to their service as directors or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could also potentially provide the Company with greater flexibility to consider and engage in certain types of corporate transactions that might provide shareholders with an opportunity to realize greater value for their shares in the Company that the Board determines to be in the best interests of the Company. Under Part I, Title XV, Chapter 110F of the Massachusetts General Laws, a business combination between a corporation and an interested shareholder is prohibited unless it satisfies certain conditions, one or more of which may be impractical in certain instances.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or decisions in relation to corporate transactions. Under Cayman Islands law, in making decisions, directors are required to comply with their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Redomestication may allow the Company to accomplish certain types of transactions with a reduced risk of litigation or a court overturning the business decisions of the Board, to the detriment of the Company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 such transactions potentially implicating the fairness standard under Massachusetts law are currently being discussed or considered by the Board. Consequently, the Redomestication is not being proposed to prevent a change in control, or as a response to any present attempt known to the Board to acquire control of the Company or obtain representation on the Board.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to resubmit the Redomestication to shareholders at the Special Meeting, the Board also considered the results of the vote at the 2026 Annual Meeting, at which the redomestication proposal received the affirmative vote of a substantial majority of the votes cast but, as a result of overall shareholder turnout, fell short of the required two-thirds of the shares then outstanding and entitled to vote. The Board continues to believe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considerations described above support the Redomestication and that resubmitting the Redomestication to the Company’s shareholders following the completion of the Merger is advisable and in the best interests of the Company and its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Associated with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Redomestication will result in all or any of the benefits described in this proxy statement, including the benefits of or resulting from the transfer by way of continuation of the Company into the Cayman Islands or the application of Cayman Islands law to the internal affairs of the Company. In deciding whether to vote in favor of the Redomestication Proposal, you should carefully consider the following risk factors relating to the Redomestication, together with the other information contained in this proxy statement and its annexes, including the matters addressed in the section titled “Cautionary Note Regarding Forward-Looking Statements.” Additional risks and uncertainties not presently known to the Company, or that the Company currently believes are immaterial, could also adversely affect the Redomestication or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Currently, the Company is governed by Massachusetts law, the Massachusetts Articles and the Massachusetts Bylaws, but upon effectiveness of the Redomestication the Company will be governed by Cayman Islands law and the Cayman Articles, provisions of which have anti-takeover implications. </w:t>
      </w:r>
    </w:p>
    <w:p>
      <w:pPr>
        <w:pStyle w:val="TextBody"/>
        <w:bidi w:val="0"/>
        <w:spacing w:before="120" w:after="0"/>
        <w:jc w:val="left"/>
        <w:rPr>
          <w:rFonts w:ascii="Times New Roman" w:hAnsi="Times New Roman"/>
          <w:sz w:val="20"/>
        </w:rPr>
      </w:pPr>
      <w:r>
        <w:rPr>
          <w:rFonts w:ascii="Times New Roman" w:hAnsi="Times New Roman"/>
          <w:sz w:val="20"/>
        </w:rPr>
        <w:t xml:space="preserve">Upon effectiveness of the Redomestication, the Company’s organizational documents will change and the Company and its organizational documents will be governed by Cayman Islands law rather than Massachusetts law. Provisions that will be included in the Cayman Articles may discourage, delay, or prevent a merger, acquisition, or other change in control of the Company that shareholders may consider favorable, including transactions in which its ordinary shareholders might otherwise receive a premium price for their ordinary shares. These provisions could also limit the price that investors might be willing to pay in the future for the Company’s ordinary shares, thereby depressing the market price of its ordinary shares. In addition, because the Board will be responsible for appointing the members of the Company’s management team, these provisions may frustrate or prevent any attempts by the Company’s shareholders to replace or remove its current management by making it more difficult for shareholders to replace members of the Board. Among other things, these provisions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introduce the use of a classified board of directors such that not all members of the Board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Company directors to be changed only by resolution of its board of directors, subject to the terms of the Cayman Series B Certificate of 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shareholders can remove directors from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or for proposing matters that can be acted on at shareholder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general meeting of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Board to issue preferred shares without shareholder approval, which could be used to institute a “poison pill” that would work to dilute the share ownership of a potential hostile acquirer, effectively preventing acquisitions that have not been approved by the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 special resolution passed by the affirmative vote of not less than two-thirds of the votes cast at a general meeting of the Company will be required to amend provisions of the Cayman Articles.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upon effectiveness of the Redomestication, the Cayman Series B Certificate of Designation relating to the Cayman Series B Preferred Shares may delay or prevent a change in control of the Company. At any time while at least 30% of the originally issued Cayman Series B Preferred Shares remain issued and outstanding, the Company may not, without the affirmative vote of the holders of a majority of the then outstanding shares of the Cayman Series B Preferred Shares, (i) consummate (x) any Fundamental Transaction (as defined in the Cayman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B Certificate of Designation) or (y) any merger or consolidation of the Company with or into another entity or any share sale to, or other business combination in which the Company shareholders immediately before such transaction do not hold at least a majority of the shares in the capital of the Company immediately after such transaction, (ii) increase the size of the Board, (iii) adopt, amend or repeal any written delegation of authority policy, corporate authority matrix or similar document, framework or schedule unless such adoption, amendment or repeal has been approved by the unanimous vote of the Board, or (iv) retain or replace the Company’s registered independent public accounting firm, independent compensation consultant or corporate counsel. This provision of the Cayman Series B Certificate of Designation may make it more difficult for the Company to enter into any of the aforementioned transactions, even potential change of control transactions that could offer a premium over the market value of the Company to the ordinary shareholders, as it would require the separate consent of the majority of the issued and outstanding Cayman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Cayman Articles designate the courts of the Cayman Islands as the sole and exclusive forum for certain types of actions and proceedings that may be initiated by the Company’s shareholders, this could limit your ability to obtain a favorable judicial forum for disputes with the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will provide that unless the Company consents in writing to the selection of an alternative forum, the courts of the Cayman Islands shall have exclusive jurisdiction over any claim or dispute arising out of or in connection with the Cayman Articles or otherwise related in any way to each shareholder’s shareholding in the Company, including but not limited to (i) any derivative action or proceeding brought on behalf of the Company, (ii) any action asserting a claim of breach of any fiduciary or other duty owed by any of the Company’s current or former director, officer or other employee to the Company or its shareholders, (iii) any action asserting a claim arising pursuant to any provision of the Companies Act or the Cayman Articles, or (iv) any action asserting a claim against the Company concerning its internal affairs. The forum selection provision in Cayman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Cayman Articles will also provide that, without prejudice to any other rights or remedies that the Company may have, each of the Company’s shareholders acknowledges that damages alone would not be an adequate remedy for any breach of the selection of the courts of the Cayman Islands as exclusive forum and that accordingly the Cayman Company shall be entitled, without proof of special damages, to the remedies of injunction, specific performance or other equitable relief for any threatened or actual breach of the selection of the courts of the Cayman Islands as exclusive forum. This choice of forum provision may increase a shareholder’s cost and limit the shareholder’s ability to bring a claim in a judicial forum that it finds favorable for disputes with the Company or its directors, officers, or other employees, which may discourage lawsuits against the Company and its directors, officers, and other employees. Any person or entity purchasing or otherwise acquiring any of the Company’s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the Cayman Articles to be inapplicable or unenforceable in an action, the Company may incur additional costs associated with resolving the dispute in other jurisdictions, which could have adverse effect on the Company’s business and financial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Effects of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Redomestication will effect a change in the legal domicile of the Company and other changes, the most significant of which are described below. Following the Redomestication, the Company will be governed by the Companies Act instead of the MBCA, and the Company will be governed by the Cayman Articles. Approval of Proposal Nos. 1 and 2 will constitute the approval and adoption of the Cayman Articles. The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Articles and the Massachusetts Bylaws will no longer be applicable following completion of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summaries below do not purport to be complete and are subject to, and qualified in their entirety by reference to, the Companies Act, the Cayman Articles, the MBCA, the Massachusetts Articles and the Massachusetts Bylaws, which you should carefully read, together with this entire proxy statement and the other referenced documents, for a more complete understanding of the differences between being a shareholder of the Massachusetts Corporation before the Redomestication and being a shareholder of the Cayman Company following the completion of the Redomestication. Copies of the form of the Cayman Articles, the form of the Cayman Series A Certificate of Designation and the form of the Cayman Series B Certificate of Designation are included as Annex B, Annex C and Annex D, respectively, to this proxy statement. The Massachusetts Articles, including the articles of amendment establishing the Massachusetts Series A Preferred Stock and the Massachusetts Series B Preferred Stock (each, as defined below) and the articles of amendment effecting the increase in the number of authorized shares of the Company’s common stock to 700,000,000 shares and the 1-for-7 reverse stock split, each of which has been filed with the Secretary of the Commonwealth of Massachusetts and is in effect, and the Massachusetts Bylaws have been filed by the Company with the SEC and are available as described under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Rights of Holders of the Massachusetts Corporation Capital Stock and the Cayman Company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differ in many respects from the Massachusetts Articles and the Massachusetts Bylaws. The differences between the rights of shareholders of the Massachusetts Corporation under the Massachusetts Articles and the Massachusetts Bylaws and their rights as shareholders of the Cayman Company immediately after the Redomestication under the Cayman Articles are summarized below. The following summary reflects the Massachusetts Articles and the Massachusetts Bylaws as in effect on the date of this proxy statement, including the articles of amendment effecting the increase in the number of authorized shares of common stock, the articles of amendment effecting the 1-for-7 reverse stock split of the common stock and the articles of amendment designating the Massachusetts Series A Preferred Stock and the Massachusetts Series B Preferred Stock, in each case as filed with the Secretary of the Commonwealth. The summary below is not intended to be relied upon as an exhaustive list of all differences or a complete description of the differences between the MBCA, the Massachusetts Articles and the Massachusetts Bylaws, on the one hand, and the Cayman Articles, the Companies Act and the common law of the Cayman Islands, on the other hand. The summary below is qualified in its entirety by reference to the actual text of the MBCA, the Massachusetts Articles, the Massachusetts Bylaws, the Cayman Articles and the Companies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Organizational Documents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rights of Massachusetts Corporation shareholders are governed by the Massachusetts Articles, the Massachusetts Bylaws and the MBCA.</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rights of Cayman Company shareholders will be governed by the Cayman Articles, the Companies Act and the common law of the Cayman Islands.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Authorized Capital Stock</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Massachusetts Corporation is authorized to issue two classes of capital stock which are designated, respectively, “common stock” and “preferred stock.” The total number of shares that the Massachusetts Corporation is authorized to issue is 800,000,000, of which 700,000,000 shares are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authorized share capital of the Cayman Company under the Cayman Articles is US$80,000 divided into 700,000,000 “ordinary shares,” having a par value of US$0.0001 per share, and 100,000,000 “preferred shares,” having a par value of US$0.0001 per share. The Cayman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common stock, each having no par value per share, and 100,000,000 shares are preferred stock, each having no par value per share. The preferred stock may be issued from time to time in one or more series. The number of authorized shares of Massachusetts Corporation preferred stock may be increased or decreased (but not below the number of shares thereof then outstanding) by the affirmative vote of the holders of a majority of the voting power of the stock of the Massachusetts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may increase its authorized share capital through an ordinary resolution passed by the affirmative vote of a simple majority of the votes cast at a general meeting (an “ordinary resolution”).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Common Stock</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The Massachusetts Corporation’s authorized common stock consists of 700,000,000 shares of common stock, no par value per share. Each holder of a share of Massachusetts Corporation common stock is entitled to one vote for each such share held of record on the applicable record date on each matter properly submitted to the shareholders for their vote.</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Cayman Company’s authorized Cayman Shares will consist of 700,000,000 Cayman Shares, par value US$0.0001 per share. Each holder of Cayman Shares will carry the right to receive notice of, to attend and to vote at any Cayman Company general meeting.</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Preferred Stock</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Massachusetts Corporation preferred stock consists of 100,000,000 shares of preferred stock, each having no par value per share. The voting rights of preferred shareholders can vary depending on the series of preferred stock issued. The Massachusetts Corporation’s board of directors (the “Massachusetts Corporation Board”) is authorized to determine the voting powers, full or limited, or no voting powers for each series of preferred stock. 500,000</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Cayman Company’s authorized preferred shares will consist of 100,000,000 preferred shares, par value US$0.0001 per share. The Cayman Articles will provide that, whenever the capital of the Cayman Company is divided into different classes (and as otherwise determined by the board of directors), the rights attached to any such class may, subject to any rights or restrictions for the time being attached to any class, only be materially adversely varied or abrogated with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shares of Massachusetts Corporation preferred stock are designated as Series A Convertible Preferred Stock (“Massachusetts Series A Preferred Stock”) pursuant to articles of amendment to the Massachusetts Articles (the “Massachusetts Series A Articles of Amendment”). Holders of Massachusetts Series A Preferred Stock are not entitled to vote at any meetings of Massachusetts Corporation shareholders. Each share of Massachusetts Series A Preferred Stock is convertible into one share of Massachusetts Corporation common stock. In connection with the closing of the Merger, the Massachusetts Corporation Board designated 4,222 shares of undesignated preferred stock as Series B Non-Voting Convertible Preferred Stock (“Massachusetts Series B Preferred Stock”) pursuant to articles of amendment to the Massachusetts Articles filed with the Secretary of the Commonwealth (the “Massachusetts Series B Articles of Amendment”). As of the Record Date, 4,222 shares of Massachusetts Series B Preferred Stock were issued and outstanding. Except as otherwise required by the Massachusetts Series B Articles of Amendment or law, the Massachusetts Series B Preferred Stock does not have voting rights. The Massachusetts Series B Articles of Amendment provides for certain voting rights in relation to the election of directors as discussed under “Structure of Board of Directors; Term of Directors; Election of Directors” below. As long as shares of Massachusetts Series B Preferred Stock are outstanding, the Massachusetts Corporation</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consent in writing of the holders of a simple majority of the issued Cayman Shares or preferred shares of the relevant class, or with the sanction of a resolution passed at a separate meeting of the holders of the Cayman Shares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 The Cayman Articles will also provide that the rights conferred upon the holders of the Cayman Shares or preferred shares of any class shall not, unless otherwise expressly provided by the terms of issue of the relevant class, be deemed to be materially adversely varied or abrogated by the creation, allotment or issue of Cayman Shares or preferred shares ranking pari passu with them, subsequent to them, with preferred rights (including enhanced voting rights) or the redemption or purchase of any of the relevant class by the Cayman Company. The Cayman Company’s board of directors (the “Cayman Company Board”) will designate 500,000 preferred shares as Series A Non-Voting Convertible Preferred Shares (the “Cayman Series A Preferred Shares”) through a certificate of designation in the form attached as Annex C to this proxy statement (the “Cayman Series A Certificate of Designation”). Except as otherwise provided for in the Cayman Articles, the Cayman Series A Certificate of Designation or at law, a holder of Cayman Series A Preferred Shares will not have voting rights. Upon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4"/>
        <w:gridCol w:w="3266"/>
        <w:gridCol w:w="204"/>
        <w:gridCol w:w="2959"/>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will not, without the affirmative vote of the holders of a majority of the then outstanding shares of the Massachusetts Series B Preferred Stock, (a) alter or change adversely the powers, preferences or rights given to the Massachusetts Series B Preferred Stock, (b) alter or amend the description of rights of the Massachusetts Series B Preferred Stock set forth in its articles of organization, (c) amend its articles of organization, bylaws or other charter documents in any manner that adversely affects any rights of the holders of Massachusetts Series B Preferred Stock, (d) file any articles of amendment, description of rights, preferences, limitations and relative rights of any series of Massachusetts Corporation preferred stock (as defined in the Massachusetts Series B Articles of Amendment), if such action would adversely alter or change the preferences, rights, privileges or powers of, or restrictions provided for the benefit of, the Massachusetts Series B Preferred Stock, (e) issue further shares of the Massachusetts Series B Preferred Stock or increase or decrease (other than by conversion) the number of authorized shares of Massachusetts Series B Preferred Stock, (f) at any time while at least 30% of the originally issued Massachusetts Series B Preferred Stock remains issued and outstanding, (i) consummate either (A) a Fundamental Transaction (as defined in the Massachusetts Series B Articles of Amendment) or (B) any merger or consolidation of the Massachusetts Corporation or other business combination in which the shareholders of the Massachusetts Corporation immediately before such</w:t>
            </w:r>
          </w:p>
        </w:tc>
        <w:tc>
          <w:tcPr>
            <w:tcW w:w="204"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pPr>
            <w:r>
              <w:rPr/>
              <w:t>the effectiveness of the Redomestication and the Cayman Articles, the Cayman Company Board will designate 4,222 preferred shares as Series B Non-Voting Convertible Preferred Shares (the “Cayman Series B Preferred Shares”) through a certificate of designation in the form attached as Annex D to this proxy statement (the “Cayman Series B Certificate of Designation”). Except as otherwise provided for in the Cayman Articles, the Cayman Series B Certificate of Designation or at law, a holder of Cayman Series B Preferred Shares will not have voting rights other than in relation to the election of directors as discussed under “Structure of Board of Directors; Term of Directors; Election of Directors” below. In addition, as long as any Cayman Series B Preferred Shares are issued and outstanding, the Cayman Company will not, without the affirmative vote of the holders of a simple majority of the then issued and outstanding Cayman Series B Preferred Shares: (a) alter or change adversely the powers, preferences or rights given to the Cayman Series B Preferred Shares, or alter or amend the rights, powers, preferences and other terms of the Cayman Series B Preferred Shares set forth in the Cayman Series B Certificate of Designation, amend or repeal any provision of, or add any provision to, the Cayman Articles and the Cayman Series B Certificate of Designation, or file any articles of amendment, description of rights, preferences, limitations and relative rights of any series of Preferred Shares (as defined in the Cayman Series B Certificate of Designation), if such action would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3"/>
        <w:gridCol w:w="3266"/>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transaction do not hold at least a majority of the capital stock of the Massachusetts Corporation immediately after such transaction, (ii) increase the size of the Massachusetts Corporation Board, (iii) adopt, amend or repeal any written delegation of authority policy, corporate authority matrix or similar document, framework or schedule unless approved by the unanimous vote of the Massachusetts Corporation Board, or (iv) retain or replace the Massachusetts Corporation’s registered independent public accounting firm, independent compensation consultant or corporate counsel, or (g) enter into any agreement with respect to any of the foregoing. Each share of Massachusetts Series B Preferred Stock is convertible, at any time and from time to time, at the option of the holder thereof, into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adversely alter or change the preferences, rights, privileges or powers of, or restrictions provided for the benefit of, the Cayman Series B Preferred Shares, (b) issue further Cayman Series B Preferred Shares or increase or decrease (other than by conversion) the number of authorized Cayman Series B Preferred Shares, (c) at any time while at least 30% of the originally issued Cayman Series B Preferred Shares remains issued and outstanding, (i) consummate either (A) a Fundamental Transaction (as defined in the Cayman Series B Certificate of Designation) or (B) any merger or consolidation of the Cayman Company or other business combination in which the shareholders of the Cayman Company immediately before such transaction do not hold at least a majority of the shares in the capital of the Cayman Company immediately after such transaction, (ii) increase the size of the Cayman Company Board, (iii) adopt, amend or repeal any written delegation of authority policy, corporate authority matrix or similar document, framework or schedule unless approved by the unanimous vote of the Cayman Company Board, or (iv) retain or replace the Cayman Company’s registered independent public accounting firm, independent compensation consultant or corporate counsel, or (d) enter into any agreement with respect to any of the foregoing.</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Number and Qualification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number of Massachusetts Corporation directors shall be not less than three directors and may be increased or decreased to a size fixed exclusively by vote of a majority of the directors then</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size of the Cayman Company Board will be fixed by the Cayman Company Board and may be increased or decreased at any time by the affirmative vote of a simple majority of the voting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serving. No decrease in the authorized number of directors constituting the Massachusetts Corporation Board will shorten the term of any incumbent director. Directors need not be shareholders of the Massachusetts Corporation. The Massachusetts Corporation Board currently consists of six members.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power of the Cayman Company Board present, or in accordance with terms set out in the Cayman Articles. No decrease in the authorized number of directors constituting the Cayman Company Board will shorten the term of any incumbent director. Directors need not be shareholders of the Cayman Company. The Cayman Company Board is expected to consist of six members.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Structure of Board of Directors; Term of Directors; Election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At each annual meeting of shareholders, directors are elected for a term set to expire at the next annual meeting of shareholders. Notwithstanding the foregoing, each director shall serve until his or her successor is duly elected and qualified or until his or her earlier death, resignation, or removal. Except as otherwise provided by statute, the Massachusetts Articles or the Massachusetts Bylaws, when a quorum is present, (i) in the event there are at least as many 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 At all times when at least 30% of the originally issued Massachusetts Series B Preferred Stock remains issued and outstanding: (i) the holders of Massachusetts Series B Preferred Stock, exclusively and voting together as a separate class on an as-converted to common stock basis, are entitled to elect four directors (“Massachusetts Preferred Directors”); and (ii) the holders of Massachusetts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Cayman Company Board will be divided into three classes designated as: Class I, Class II, and Class III. The Cayman Company Board will be authorized to assign directors already in office to such classes in accordance with a resolution or resolutions adopted by the Cayman Company Board. At the first annual general meeting of shareholders following the date of adoption of the Cayman Articles, the term of office of the Class I directors shall expire and Class I directors shall be elected for a full term of three years. At the second annual general meeting of shareholders following the date of adoption of the Cayman Articles, the term of office of the Class II directors shall expire and Class II directors shall be elected for a full term of three years. At the third annual general meeting of shareholders following the date of adoption of the Cayman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particular class whose terms expire at such annual general meeting. Notwithstanding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Corporation common stock and of any other class or series of voting stock (including the Massachusetts Series B Preferred Stock), exclusively and voting together as a single class on an as-converted to common stock basis, are entitled to elect the balance of the total number of directors of the Massachusetts Corporation. Each Massachusetts Preferred Director is entitled to three votes on each matter presented to the Massachusetts Corporation Board.</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foregoing provisions, each director shall serve until his or her successor is duly elected and qualified or until his or her earlier death, resignation, or removal. Any election of directors by shareholders shall be determined by a plurality of the votes properly cast on the election of directors. At all times when at least 30% of the originally issued Cayman Series B Preferred Shares remains issued and outstanding: (i) the holders of record of the Cayman Series B Preferred Shares, exclusively and voting together as a separate class on an as-converted to Cayman Shares basis, shall be entitled to elect four directors (“Cayman Preferred Directors”); and (ii) the holders of the Cayman Shares and of any other class or series of voting shares (including the Cayman Series B Preferred Shares), exclusively and voting together as a single class on an as-converted to Cayman Shares basis, shall be entitled to elect the balance of the total number of directors of the Cayman Company; provided, however, that the Cayman Preferred Directors in office immediately following the Redomestication will be the Massachusetts Preferred Directors in office immediately prior to the Redomestication, who will continue in office by operation of the Plan of Domestication without any appointment by the Cayman Company Board or separate action by the holders of Cayman Series B Preferred Shares. Each Cayman Preferred Director shall be entitled to three votes on each matter presented to the Cayman Company Board.</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Removal of Directors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Subject to the rights of the holders of any series of preferred stock, at any special meeting of</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Subject to the rights and restrictions of holders of any series of preferred shares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Massachusetts Corporation shareholders called at least in part for such purpose, any director may, by the affirmative vote of the holders of at least a majority of the shares entitled to vote for the election of directors, be removed for cause. The Massachusetts Corporation Board may remove any director or directors, for cause, at a meeting of the Massachusetts Corporation Board by vote of a majority of directors then in office. Any Massachusetts Preferred Director may be removed without cause only by the affirmative vote of the holders of a majority of the Massachusetts Series B Preferred Stock.</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remove directors specified by the Cayman Articles or any certificate of designation, any individual director or the Cayman Company Board may only be removed with cause by an ordinary resolution. In addition, the Cayman Company Board is authorized to remove any director or directors, for cause, by the affirmative vote of a simple majority of directors present or in accordance with the terms set out in the Cayman Articles. At all times when at least 30% of the originally issued Cayman Series B Preferred Shares remains issued and outstanding, any Cayman Preferred Director may be removed without cause only by the affirmative vote of the holders of a majority of the Cayman Series B Preferred Shares, given either at a special meeting of such shareholders duly called for that purpose or pursuant to a written consent of shareholders.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Vacancies on the Board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Subject to the rights of the holders of any series of preferred stock, any vacancies on the Massachusetts Corporation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Massachusetts Corporation Board, and not by the shareholders. Any director elected in accordance with the preceding sentence shall hold office for the remainder of the full term of the director for which the vacancy was created or occurred and until such director’s successor shall have been elected and qualified. At all times when at least 30% of the originally issued</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Subject to the rights of the holders of any series of preferred shares, including pursuant to any certificate of designation, any vacancies on the Cayman Company Board resulting from death, resignation, disqualification, removal or other causes, and any newly created directorships resulting from any increase in the number of directors, shall, unless the Cayman Company Board determines by resolution that any such vacancies or newly created directorships shall be filled by the shareholders as permitted in accordance with the Cayman Articles and any certificate of designation, be filled only by the affirmative vote of a simple majority of the voting power of the directors present, or by unanimous written consent of all directors, or by a sole remaining director and not by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Massachusetts Series B Preferred Stock remains issued and outstanding, any vacancies of a Massachusetts Preferred Director directorship resulting from death, resignation, disqualification, removal, or other causes shall be filled by the affirmative vote of the holders of a majority of the Massachusetts Series B Preferred Stock.</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shareholders. Any director elected in accordance with the preceding sentence shall hold office for the remainder of the full term of the director for which the vacancy was created or occurred and until such director’s successor shall have been elected and qualified. If the holders of the Cayman Series B Preferred Shares fail to elect a sufficient number of directors to fill all directorships for which they are entitled to elect pursuant to the Cayman Series B Certificate of Designation, then any directorship not so filled shall remain vacant until such time as the holders ofthe Cayman Series B Preferred Shares fill such directorship in accordance with the Cayman Series B Certificate of Designation.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Shareholder Action by Written Consent</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Any action required or permitted to be taken by the Massachusetts Corporation shareholders may be taken without a meeting if evidenced by consents signed by all Massachusetts Corporation shareholders entitled to vote on the matter.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 resolution in writing signed by all the shareholders entitled to receive notice of and to attend and vote at general meetings of the Cayman Company (or being corporations by their duly authorized representatives) shall be as valid and effective as if the same had been passed at a general meeting of the Cayman Company duly convened and held for the purposes of passing a special resolution or an ordinary resolution.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Quorum</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Except where otherwise provided by statute or by the Massachusetts Articles or the Massachusetts Bylaws, at any meeting of Massachusetts Corporation shareholders, a majority of the votes entitled to be cast on a matter by a voting group shall constitute a quorum with respect to that voting group for action on that matter. In the absence of a quorum, any meeting of shareholders may be adjourned,</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At all meetings of shareholders, except where otherwise provided by the Cayman Articles or any certificate of designation, the holders of record of one-third of the issued and outstanding shares entitled to vote, present in person or represented by proxy, shall constitute a quorum at any meeting of shareholders. If less than a quorum is present at a meeting, the holders of shares representing a simple majority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4"/>
        <w:gridCol w:w="3265"/>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5"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from time to time, either by the chairperson of the meeting or by a majority of the votes cast on the matter.</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voting power present at the meeting or the presiding officer or chairman may adjourn the meeting from time to time, and the meeting may be held as adjourned without further notice, except as provided for in the Cayman Articles. A meeting will be adjourned until a quorum is present. At such adjourned meeting at which a quorum is present, any business may be transacted which might have been transacted at the original meeting.</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Special Meetings of Shareholders</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Special meetings of the Massachusetts Corporation shareholders may be called, for any purpose as is a proper matter for shareholder action under the Massachusetts Articles, the Massachusetts Bylaws and the MBCA, by (i) subject to certain conditions, holders of at least forty percent (40%) of all the votes entitled to be cast on any issue to be considered at the proposed special meeting, or (ii) the Massachusetts Corporation Board pursuant to a resolution adopted by a majority of the directors at a meeting of directors where a quorum is present or by unanimous written consent of the Massachusetts Corporation Board. The Massachusetts Corporation Board or an officer designated by the Massachusetts Corporation Board shall determine the time and place of such special meeting. Upon determination of the time and place of the meeting, the Massachusetts Corporation secretary shall cause a notice of meeting to be given to the Massachusetts Corporation shareholders entitled to vote, in accordance with the Massachusetts Bylaws. No business may be transacted at such special meeting other than the</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Subject to certain conditions set forth in the Cayman Articles, general meetings of the Cayman Company may be called, for any purpose as is a proper matter for shareholder action under Cayman Islands law, by (i) the Cayman Company Board or (ii) the holders of at least 40% of all the votes entitled to be cast on any issue to be considered at the proposed general meeting delivered to an executive officer of the Cayman Company at the principal executive offices of the Cayman Company. The Cayman Company Board shall determine the date, time, and place (and, if the general meeting is to be a hybrid meeting or an electronic meeting, the details of the electronic facilities for attendance and participation by electronic means at the general meeting) of such meeting, if any. Upon such determination, the Cayman Company Board or executive officer of the Cayman Company shall cause a notice of general meeting to be given to the Cayman Company shareholders entitled to vote, in accordance with the Cayman Articles.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business specified in the notice of meeting. Special meetings called by Massachusetts Corporation shareholders will be scheduled not fewer than sixty (60) nor more than ninety (90) days after the date of delivery of a written request to the Massachusetts Corporation secretary for such meeting to be called by shareholders holding at least forty percent (40%) of the votes entitled to be cast on any issue to be considered at the proposed special meeting, subject to certain conditions in the Massachusetts Bylaws.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Notice of Shareholder Meetings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Except as otherwise provided by law, notice, given in writing or by electronic transmission, of each meeting of Massachusetts Corporation shareholders shall be given not less than seven (7) nor more than sixty (60) days before the date of the meeting to each shareholder entitled to vote at such meeting. Notice of any special meeting requested by Massachusetts Corporation shareholders in accordance with the Massachusetts Bylaws shall be given in writing or electronic transmission within thirty (30) days of the date of delivery of a written request for such special meeting to be called. Notice delivered to Massachusetts Corporation shareholders of shareholder meetings will specify the date, place and time of such meeting and the purposes of such meeting.</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Except as otherwise provided by law, a notice of each meeting of shareholders stating the time, date and place of such meeting (and, if the meeting is to be a hybrid meeting or an electronic meeting, the details of the electronic facilities for attendance and participation by electronic means at the meeting) by which shareholders and proxy holders may be deemed to be present in person and vote at any such meeting shall be given not less than seven (7) nor more than sixty (60) days before the date of the meeting to each shareholder entitled to vote at such meeting as of the record date for such meeting, such notice to specify, in the case of general meetings, the business, purpose or purposes for which the meeting has been called. No business may be transacted at an annual general meeting otherwise than specified in the notice of annual general meeting. The accidental omission to give notice of a meeting to or the non-receipt of a notice of a meeting by any shareholder shall not invalidate the proceedings at any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7"/>
        <w:gridCol w:w="202"/>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2"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b/>
              </w:rPr>
            </w:pPr>
            <w:r>
              <w:rPr>
                <w:b/>
              </w:rPr>
              <w:t>Advance Notice Requirements for Shareholder Proposals</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Nominations of persons for election to the Massachusetts Corporation Board may be made at an annual meeting or special meeting of shareholders, and the proposal of business to be considered by the shareholders may be made at an annual meeting of shareholders, by any Massachusetts Corporation shareholder who was a shareholder of record at the time of giving the shareholder’s notice, who is entitled to vote at the meeting and who complied with the notice procedures set forth in the Massachusetts Bylaws. Such notice must be received by the Massachusetts Corporation not later than the close of business on the ninetieth (90th) day and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Massachusetts Corporation Board to be elected at such meeting, in the case of a special meeting nomination.</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Nominations of persons for election to the Cayman Company Board and the proposal of business to be considered by the shareholders may be made at an annual general meeting of shareholders: (i) pursuant to the Cayman Company’s notice of meeting of shareholders (with respect to business other than nominations); (ii) brought specifically by or at the direction of the Cayman Company Board; or (iii) by any shareholder of the Cayman Company who was a shareholder of record at the time of giving the shareholders’ notice provided for in the Cayman Articles, who is entitled to vote at the meeting and who complied with the notice procedures set forth in the Cayman Articles. Such notice must be received by the Cayman Company not later than the close of business on the ninetieth day and no earlier than the close of business on the one hundred twentieth day prior to the first anniversary of the preceding year’s annual meeting, or if no annual meeting was held in the preceding year, not later than the close of business on the later of the ninetieth day prior to such meeting or the tenth day following the day on which public announcement is first made of the date of such meeting. For director nominations or other business to be properly brought before an annual general meeting by a shareholder, the shareholder must (i) have given Timely Notice (as defined in the Cayman Articles) in writing and (ii) comply with the requirements in the Cayman Articles as to the contents of the Timely Notice.</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Amendment of Articles of Organization and Memorandum of Association</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The Massachusetts Articles may be amended by the affirmative vote of the majority of the</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Cayman Articles will consist of a memorandum of association and articles of association. Subject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outstanding shares of capital stock entitled to vote on such amendment at a duly constituted meeting of shareholders called expressly for such purpose.</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to the Companies Act and the rights attaching to the various classes, including pursuant to any certificate of designation, the Cayman Company may at any time and from time to time, by (i) a majority of not less than two-thirds of the shareholders as, being entitled to do so, vote in person or, where proxies are allowed, by proxy at a general meeting of the Cayman Company of which notice specifying the intention to propose the resolution as a special resolution has been duly given and, where a poll is taken, regard shall be had in computing a majority to the number of votes to which each shareholder is entitled, or (ii) a resolution approved in writing by all of the shareholders entitled to vote at a general meeting of the Cayman Company in one or more instruments each signed by one or more of the shareholders (a “special resolution”), alter or amend the memorandum of association and articles of association forming a part of the Cayman Articles, in whole or in part.</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Amendment of Bylaws and Articles of Association</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Except as otherwise provided by law, the Massachusetts Bylaws may be adopted, amended, or repealed by the Massachusetts Corporation Board. Any adoption, amendment, or repeal of the Massachusetts Bylaws by the Massachusetts Corporation Board must be effected pursuant to a resolution adopted by a majority of the directors at a meeting of directors where a quorum is present or by unanimous written consent of the Massachusetts Corporation Board. The Massachusetts Bylaws may also be adopted, amended, or repealed by the shareholders, with votes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Cayman Articles will consist of a memorandum of association and articles of association. Subject to the Companies Act and the rights attaching to the various classes, including pursuant to any certificate of designation, the Cayman Company may at any time and from time to time by special resolution alter or amend the articles of association forming a part of the Cayman Articles in whole or in part.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2"/>
        <w:gridCol w:w="3266"/>
        <w:gridCol w:w="203"/>
        <w:gridCol w:w="2961"/>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3"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cast in favor representing a majority of the votes entitled to be cast on the matter.</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Limitation on Director and Officer Liability</w:t>
            </w:r>
          </w:p>
        </w:tc>
        <w:tc>
          <w:tcPr>
            <w:tcW w:w="2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Directors shall not be liable to the Massachusetts Corporation or its shareholders for damages for any breach of fiduciary duty, except to the extent that the elimination or limitation of liability is not permitted under law.</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Companies Act does not restrict the authority of a Cayman exempted company to indemnify its directors, officers, employees, or agents. The Cayman Articles provide that no Indemnified Person (as defined below) shall be liable: (a) for the acts, receipts, neglects, defaults or omissions of any other director or officer or agent of the Cayman Company; or (b) for any loss on account of defect of title to any property of the Cayman Company; or (c) on account of the insufficiency of any security in or upon which any money of the Cayman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Indemnification</w:t>
            </w:r>
          </w:p>
        </w:tc>
        <w:tc>
          <w:tcPr>
            <w:tcW w:w="2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Massachusetts Corporation will indemnify and hold harmless its directors and officers from and against any and all claims and liabilities to which he or she may be or become subject by reason of being or having been a director or officer of the Massachusetts Corporation or by reason of</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Cayman Articles provide that, to the fullest extent permitted by law, every director (including any alternate director appointed pursuant to the provisions of the Cayman Articles), secretary, assistant secretary, or other officer (but not including the Cayman Company’s auditors) and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alleged acts or omissions as a director or officer of the Massachusetts Corporation,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reimbursed. These obligations to indemnify, hold harmless and reimburse directors and officers include payment by the Massachusetts Corporation of expenses incurred in defending a civil or criminal action or proceeding in advance of the final disposition of such action or proceeding. The Massachusetts Corporation will also indemnify and hold harmless persons who serve at the Massachusetts Corporation’s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the Massachusetts Corporation be required to pay indemnification or advancement of any such liabilities, expenses or other losses. The rights conferred on any person by the Massachusetts Articles will be in addition to and not exclusive of any other rights to which any officer or director of the Massachusetts Corporation may otherwise be lawfully entitled.</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personal representatives of the same (each an “Indemnified Person”) shall be indemnified and secured harmless out of the assets and funds of the Cayman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Cayman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Cayman Company or its affairs in any court whether in the Cayman Islands or elsewhere. Each shareholder waives any claim or right of action they might have, whether individually or by or in the right of the Cayman Company, against any director or officer on account of any action taken by such director or officer, or the failure of such director or officer to take any action in the performance of his or her duties with or for the Cayman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3"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provided that such waiver shall not extend to any matter in respect of any actual fraud, willful default or willful neglect which may attach to such director or officer. The Cayman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Cayman Articles or otherwise. The rights to indemnification and advancement of expenses conferred on any Indemnified Person as set out above will not be exclusive of any other rights that any Indemnified Person may have or hereafter acquire pursuant to an agreement with the Cayman Company or otherwise.</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Conversion Rights</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Massachusetts Corporation common stock is neither convertible nor redeemable. Holders of Massachusetts Series A Preferred Stock have the right to convert such shares into shares of Massachusetts Corporation common stock at any time at a ratio of 1 share of Massachusetts Series A Preferred Stock to 1 share of Massachusetts Corporation common stock. Holders of Massachusetts Series B Preferred Stock have the right to convert such shares into Massachusetts Corporation common stock at any time at a ratio of 1 share of Massachusetts Series B Preferred Stock to 1,000 shares of Massachusetts</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In accordance with the Cayman Series A Certificate of Designation, each Cayman Series A Preferred Share then issued and outstanding shall be convertible, at any time and from time to time, at the option of the holder thereof, at a ratio of 1 Cayman Series A Preferred Share to 1 Cayman Share, subject to adjustment for share splits, combinations and similar events provided for in the Cayman Series A Certificate of Designation. In accordance with the Cayman Series B Certificate of Designation, each Cayman Series B Preferred Share then issued and outstanding shall be convertible, at any time and from time to time, at the option of the holder thereof, at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 ratio of 1 Cayman Series B Preferred Share to 1,000 Cayman Shares, subject to certain limitations, including that a holder of Cayman Series B Preferred Shares will be prohibited from converting Cayman Series B Preferred Shares into Cayman Shares if, as a result of such conversion, such holder, together with its affiliates, would beneficially own more than a specified percentage (initially set at 19.99%) of the total number of Cayman Shares issued and outstanding immediately after giving effect to such conversion.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Preemptive Rights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Massachusetts Corporation shareholders do not have preemptive rights. Thus, if additional shares of Massachusetts Corporation common stock are issued, the current holders of Massachusetts Corporation common stock will own a proportionately smaller interest in a larger number of outstanding shares of common stock to the extent that they do not participate in the additional issuance.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Cayman Company shareholders will not have preemptive rights. Thus, if additional Cayman Shares are issued, the current holders of Cayman Shares will own a proportionately smaller interest in a larger number of outstanding Cayman Shares to the extent that they do not participate in the additional issuance.</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Distributions to Shareholders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Subject to preferences that may be applicable to any outstanding shares of Massachusetts Corporation preferred stock, the holders of Massachusetts Corporation common stock are entitled to receive ratably such dividends as may be declared by the Massachusetts Corporation Board out of legally available funds.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Subject to the Companies Act, the Cayman Articles, and any certificate of designation, and except as otherwise provided by the rights attached to any shares, the directors may resolve to declare dividends (including interim dividends) and other distributions on shares in issue and authorize payment of the dividends or other distributions out of the funds of the Cayman Company lawfully available therefor. All dividends shall be declared and paid according to the amounts paid up on the Cayman Shares, but if and for so long as nothing is paid up on any of the Cayman Shares, dividends may be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declared and paid according to the par value of the Cayman Shares. Dividends may be paid in cash, in property, or in shares. A Cayman Islands company may only make distributions by way of a dividend out of its profits, retained earnings, and/or share premium account. Where dividends are paid from share premium, a statutory solvency test applies immediately following payment such that the company shall be able to pay its debts as they fall due in the ordinary course of business. Where dividends are paid from profits or retained earnings, directors are also required to assess solvency, although the test is not expressly set out in the Companies Act.</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Exclusive Forum</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Massachusetts Articles provide that, unless the Massachusetts Corporation Board consents in writing to the selection of an alternative forum, a state or federal court located within the Commonwealth of Massachusetts shall be the sole and exclusive forum for (i) any derivative action or proceeding brought on behalf of the Massachusetts Corporation; (ii) any action asserting a claim of breach of a fiduciary duty owed by any director, officer or other employee of the Massachusetts Corporation to the Massachusetts Corporation or its shareholders; (iii) any action asserting a claim against the Massachusetts Corporation arising pursuant to any provision of the MBCA or any successor statute; or (iv) any action asserting a claim against the Massachusetts Corporation governed by the internal affairs doctrine.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Cayman Articles will provide that, unless the Cayman Company consents in writing to the selection of an alternative forum, the courts of the Cayman Islands shall have exclusive jurisdiction over any claim or dispute arising out of or in connection with the Cayman Articles or otherwise related in any way to each member’s shareholding in the Cayman Company, including but not limited to: (a) any derivative action or proceeding brought on behalf of the Cayman Company; (b) any action asserting a claim of breach of any fiduciary or other duty owed by any current or former director, officer, or other employee of the Cayman Company to the Cayman Company or the members; (c) any action asserting a claim arising pursuant to any provision of the Companies Act or the Cayman Articles; or (d) any action asserting a claim against the Cayman Company concerning its internal affairs.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Registration Rights</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Other than pursuant to the registration rights agreement described below, Massachusetts Corporation shareholders do not have any registration rights. In connection with the Merger, the Massachusetts Corporation entered into a registration rights agreement with the investors participating in the private placement financing that closed concurrently with the Merger, pursuant to which, among other things, the Massachusetts Corporation agreed to prepare and file a resale registration statement covering the resale of certain shares of Massachusetts Corporation common stock within 30 business days of the closing of the Merger pursuant to Rule 415 and to use its commercially reasonable efforts to keep such registration statement continuously effective under the Securities Act. The registration rights agreement also provides that the Massachusetts Corporation will pay certain expenses relating to such registrations and indemnify the applicable securityholders against certain liabilities.</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Following the Redomestication, the Cayman Company will have comparable obligations pursuant to the registration rights agreement.</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Stock Transfer Restrictions Applicable to Shareholders</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Shares of Massachusetts Corporation common stock are transferable in the manner prescribed by the MBCA.</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Transfer of Cayman Shares in record form may be subject to the restrictions that may be set out from time to time in the Cayman Articles, including, without limitation, the receipt of an instrument of transfer in such form as the directors may in their absolute discretion approve and such other evidence as the directors may reasonably require to show the right of the transferor to make the transfer.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Comparison of Shareholder Rights under Massachusetts Law and Cayman Islands Law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and the common law of the Cayman Islands are similar in many respects to the statutory corporate laws of Massachusetts, as governed by the MBCA. However, there are certain differences that may affect the rights of a shareholder of the Company, as well as the corporate governance of the Company. The following are brief summaries of material differences between the current rights of shareholders of the Massachusetts Corporation under the MBCA and the rights of shareholders of the Cayman Company following completion of the Redomestication under the Companies Act. This section does not include a complete description of all differences among such rights, nor does it include a complete description of such rights. </w:t>
      </w:r>
    </w:p>
    <w:p>
      <w:pPr>
        <w:pStyle w:val="TextBody"/>
        <w:bidi w:val="0"/>
        <w:spacing w:before="360" w:after="0"/>
        <w:jc w:val="left"/>
        <w:rPr>
          <w:rFonts w:ascii="Times New Roman" w:hAnsi="Times New Roman"/>
          <w:i/>
          <w:sz w:val="20"/>
        </w:rPr>
      </w:pPr>
      <w:r>
        <w:rPr>
          <w:rFonts w:ascii="Times New Roman" w:hAnsi="Times New Roman"/>
          <w:i/>
          <w:sz w:val="20"/>
        </w:rPr>
        <w:t xml:space="preserve">Increasing or Decreasing Authorized Capital Stock or Share Capital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shareholders must approve an amendment to the corporation’s articles of organization to increase or decrease the number of authorized shares in accordance with the provisions of the applicable statute.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memorandum and articles of association of a Cayman Islands exempted company sets the authorized share capital. Any changes made to increase the authorized share capital of a Cayman Islands exempted company will require an ordinary resolution and any changes made to reduce the authorized share capital or any amendment to the memorandum and articles of association of a Cayman Islands exempted company will require a special resolution. </w:t>
      </w:r>
    </w:p>
    <w:p>
      <w:pPr>
        <w:pStyle w:val="TextBody"/>
        <w:bidi w:val="0"/>
        <w:spacing w:before="360" w:after="0"/>
        <w:jc w:val="left"/>
        <w:rPr>
          <w:rFonts w:ascii="Times New Roman" w:hAnsi="Times New Roman"/>
          <w:i/>
          <w:sz w:val="20"/>
        </w:rPr>
      </w:pPr>
      <w:r>
        <w:rPr>
          <w:rFonts w:ascii="Times New Roman" w:hAnsi="Times New Roman"/>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The board of directors of a public Massachusetts company may unilaterally opt back into the default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Companies Act does not provide for the classification of directors into classes with staggered terms of office, Cayman Islands law allows companies to implement a classified board structure through their articles of association. </w:t>
      </w:r>
    </w:p>
    <w:p>
      <w:pPr>
        <w:pStyle w:val="TextBody"/>
        <w:bidi w:val="0"/>
        <w:spacing w:before="360" w:after="0"/>
        <w:jc w:val="left"/>
        <w:rPr>
          <w:rFonts w:ascii="Times New Roman" w:hAnsi="Times New Roman"/>
          <w:i/>
          <w:sz w:val="20"/>
        </w:rPr>
      </w:pPr>
      <w:r>
        <w:rPr>
          <w:rFonts w:ascii="Times New Roman" w:hAnsi="Times New Roman"/>
          <w:i/>
          <w:sz w:val="20"/>
        </w:rPr>
        <w:t xml:space="preserve">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cumulative voting for directors entitles each shareholder to multiply the number of votes they are entitled to cast by the number of directors for whom they are entitled to vote and cast the product for a single candidate or distribute the product among two or more candidates. Cumulative voting may enable a minority shareholder or group of shareholders to elect at least one representative to the board of directors where such shareholders would not be able to elect any directors without cumulative voting. </w:t>
      </w:r>
    </w:p>
    <w:p>
      <w:pPr>
        <w:pStyle w:val="TextBody"/>
        <w:bidi w:val="0"/>
        <w:spacing w:before="240" w:after="0"/>
        <w:jc w:val="left"/>
        <w:rPr>
          <w:rFonts w:ascii="Times New Roman" w:hAnsi="Times New Roman"/>
          <w:sz w:val="20"/>
        </w:rPr>
      </w:pPr>
      <w:r>
        <w:rPr>
          <w:rFonts w:ascii="Times New Roman" w:hAnsi="Times New Roman"/>
          <w:sz w:val="20"/>
        </w:rPr>
        <w:t xml:space="preserve">Although the MBCA does not generally grant shareholders cumulative voting rights, a Massachusetts corporation may provide in its articles of organization or bylaws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provide for cumulative voting as a mechanism for electing directors and if a Cayman Islands exempted company wants to allow cumulative voting, it must explicitly set it out in its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Articles do not provide for cumulative voting in the election of directors. Similarly, the Cayman Articles do not provide for cumulative voting. </w:t>
      </w:r>
    </w:p>
    <w:p>
      <w:pPr>
        <w:pStyle w:val="TextBody"/>
        <w:bidi w:val="0"/>
        <w:spacing w:before="360" w:after="0"/>
        <w:jc w:val="left"/>
        <w:rPr>
          <w:rFonts w:ascii="Times New Roman" w:hAnsi="Times New Roman"/>
          <w:i/>
          <w:sz w:val="20"/>
        </w:rPr>
      </w:pPr>
      <w:r>
        <w:rPr>
          <w:rFonts w:ascii="Times New Roman" w:hAnsi="Times New Roman"/>
          <w:i/>
          <w:sz w:val="20"/>
        </w:rPr>
        <w:t xml:space="preserve">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vacancies on the board of directors, including those resulting from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 in the authorized number of directors, may be filled by the affirmative vote of a majority of the remaining directors then in office, even if less than a quorum. Any director so appointed will hold office for the remainder of the term of the director no longer on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rule governing how board of director vacancies may be filled. Instead, the process is governed by a Cayman Islands exempted company’s articles of association, which generally give the remaining directors discretion to appoint a replacement until the next annual meeting or for the remainder of the term, and may also require shareholder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the shareholders may remove one or more directors with or without cause. In the case of directors of a public corporation whose terms are staggered pursuant to Section 8.06(b) of the MBCA, shareholders may effect, by the affirmative vote of a majority of the shares outstanding and entitled to vote in the election of directors, the removal of any director or directors or the entire board of directors only for cause. If a director is elected by a voting group of shareholders, only the shareholders of that voting group may participate in the vote to remove him. If cumulative voting is authorized, a director may not be removed by the shareholders if the number of votes sufficient to elect him under cumulative voting is voted against his removal. If cumulative voting is not authorized, a director may be removed by the shareholders only if the number of votes cast to remove him exceeds the number of votes cast not to remove him. A director may be removed by the shareholders or the directors only at a meeting called for the purpose of removing him. Currently, under the Massachusetts Articles, except as otherwise determined by the Massachusetts Corporation Board in establishing a series of preferred stock, any director or directors may be removed from office for cause at any special meeting of the shareholders called at least in part for such purpose by the affirmative vote of the holders of at least a majority of the stock entitled to vote for the election of directors. In addition, the Massachusetts Corporation Board is authorized to remove any director or directors, for cause, at a meeting of the board of directors, by vote of a majority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remove directors. Instead, the removal process is governed by a Cayman Islands exempted company’s articles of association. Under the Cayman Articles, subject to the rights and restrictions of holders of any series of preferred shares to remove directors specified by the Cayman Articles or any certificate of designation, neither the Cayman Company Board nor any individual director may be removed without cause. Subject to the rights and restrictions of holders of any series of preferred shares to remove directors specified by the Cayman Articles or any certificate of designation, any individual director or the Cayman Company Board may be removed with cause by an ordinary resolution of the shareholders or the affirmative vote of a simple majority of the directors present. Additionally, under the Cayman Series B Certificate of Designation, any Cayman Preferred Director may be removed without cause only by the affirmative vote of the holders of a simple majority of the Cayman Series B Preferred Shares. </w:t>
      </w:r>
    </w:p>
    <w:p>
      <w:pPr>
        <w:pStyle w:val="TextBody"/>
        <w:bidi w:val="0"/>
        <w:spacing w:before="360" w:after="0"/>
        <w:jc w:val="left"/>
        <w:rPr>
          <w:rFonts w:ascii="Times New Roman" w:hAnsi="Times New Roman"/>
          <w:i/>
          <w:sz w:val="20"/>
        </w:rPr>
      </w:pPr>
      <w:r>
        <w:rPr>
          <w:rFonts w:ascii="Times New Roman" w:hAnsi="Times New Roman"/>
          <w:i/>
          <w:sz w:val="20"/>
        </w:rPr>
        <w:t xml:space="preserve">Fiduciary Duties and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members of the board of directors are entitled to rely in good faith upon information, opinions, reports, or statements, including financial statements and other financial data, if prepared or presented by officers or employees of the corporation whom the director reasonably believes to be reliable and competent with respect to the information, opinions, reports or statements presented, or legal counsel, public accountants, or other persons retained by the corporation, as to matters involving skills or expertise the director reasonably believes are matters (i) within the particular person’s professional or expert competence or (ii) as to which the particular person merits confidence. A director is not liable for any action taken as a director, or any failure to take any action, if he performed the duties of his office in compliance with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Similar to Massachusetts law, Cayman Islands law permits directors to rely on information, opinions, reports, and statements prepared by officers, employees, committees or professional advisors, provided such reliance is reasonable and made in good faith. As a matter of Cayman Islands law, a director is under a general fiduciary duty to avoid conflicts of interest and Cayman Islands courts will generally defer to directors’ decisions if made in good faith, for a proper purpose and without conflicts of interest. </w:t>
      </w:r>
    </w:p>
    <w:p>
      <w:pPr>
        <w:pStyle w:val="TextBody"/>
        <w:bidi w:val="0"/>
        <w:spacing w:before="360" w:after="0"/>
        <w:jc w:val="left"/>
        <w:rPr>
          <w:rFonts w:ascii="Times New Roman" w:hAnsi="Times New Roman"/>
          <w:sz w:val="20"/>
        </w:rPr>
      </w:pPr>
      <w:r>
        <w:rPr>
          <w:rFonts w:ascii="Times New Roman" w:hAnsi="Times New Roman"/>
          <w:i/>
          <w:sz w:val="20"/>
        </w:rPr>
        <w:t>Flexibility for Decisions, Including Takeovers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does not provide a list of statutory factors that corporate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360" w:after="0"/>
        <w:jc w:val="left"/>
        <w:rPr>
          <w:rFonts w:ascii="Times New Roman" w:hAnsi="Times New Roman"/>
          <w:sz w:val="20"/>
        </w:rPr>
      </w:pPr>
      <w:r>
        <w:rPr>
          <w:rFonts w:ascii="Times New Roman" w:hAnsi="Times New Roman"/>
          <w:i/>
          <w:sz w:val="20"/>
        </w:rPr>
        <w:t>Limitation on Personal Liability of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authorizes a corporation to adopt a charter provision eliminating or limiting the personal liability of directors and officers to the corporation for monetary damages for breach of fiduciary duty, except for liability for any breach of the director’s or officer’s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specifically restrict a Cayman Islands exempted company from exempting its directors or officers from liability for negligence or a breach of duty or a breach of trust, except to the extent any such provision may be held by the Cayman Islands courts to be contrary to public policy, such as to limit liability against willful default, willful neglect, actual fraud, or the consequences of committing a crime.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derivative action on behalf of the Cayman Company, but only in limited circumstances, including but not limited to: the Cayman Company acts or proposes to act illegally or ultra vires; the act complained of (although not ultra vires) could be effected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36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has statutory mechanisms that permit corporations to indemnify directors, officers, employees, and agents in similar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Massachusetts Articles provide that the liability of Massachusetts Corporation directors for damages for any breach of fiduciary duty shall be limited to the fullest extent permitted by law. The Massachusetts Articles also provide that the Massachusetts Corporation will indemnify, and advance funds to and reimburse expenses of, Massachusetts Corporation directors and officers that have been appointed by the Massachusetts Corporation Board to the fullest extent permitted by law, and that the Massachusetts Corporation may indemnify, and advance funds to and reimburse expenses of, such other officers and employees as determined by the Massachusetts Corporation Board. The right of indemnification provided under the Massachusetts Bylaws is in addition to and not exclusive of any other rights to which any of the Massachusetts Corporation directors, officers or any other persons may otherwise be lawfully entitled. The Massachusetts Corporation has also entered into indemnification agreements with Massachusetts Corporation directors and officers, and the Massachusetts Corporation carries insurance policies insuring Massachusetts Corporation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Massachusetts Articles and the Massachusetts Bylaws. In addition, Sections 8.30 and 8.42 of the MBCA provide that if an officer or director discharges his or her duties in good faith and with the care that a person in a like position would reasonably believe appropriate under similar circumstances and in a manner the officer or director reasonably believes to be in the best interests of the corporation, he or she will not be liable for such action.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derivative action on behalf of the Cayman Company, but only in limited circumstances, including but not limited to: the Cayman Company acts or proposes to act illegally or ultra vires; the act complained of (although not ultra vires) could be effected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statutory indemnification mechanism in Massachusetts law, no corporation may indemnify a party unless it decides that indemnification is proper. Under the MBCA, the corporation through its shareholders, directors or independent legal counsel will determine whether the conduct of the person seeking indemnity conformed to the statutory provisions governing indemnity.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restrict the authority of a Cayman Islands exempted company to indemnify its directors, officers, employees, or agents, except to the extent any such provision may be held by the Cayman Islands courts to be contrary to public policy, such as to provide indemnification against willful default, willful neglect, actual fraud, or the consequences of committing a crime. The Cayman Articles provide for indemnification for every director and officer of the Cayman Company. </w:t>
      </w:r>
    </w:p>
    <w:p>
      <w:pPr>
        <w:pStyle w:val="TextBody"/>
        <w:bidi w:val="0"/>
        <w:spacing w:before="360" w:after="0"/>
        <w:jc w:val="left"/>
        <w:rPr>
          <w:rFonts w:ascii="Times New Roman" w:hAnsi="Times New Roman"/>
          <w:sz w:val="20"/>
        </w:rPr>
      </w:pPr>
      <w:r>
        <w:rPr>
          <w:rFonts w:ascii="Times New Roman" w:hAnsi="Times New Roman"/>
          <w:i/>
          <w:sz w:val="20"/>
        </w:rPr>
        <w:t>Advancement of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a corporation to advance expenses relating to the defense of any proceeding to directors and officers contingent upon such individuals’ commitment to repay any advances unless it is determined ultimately that such individuals are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Instead, the ability to advance expenses is typically addressed in a Cayman Islands exempted company’s articles of association. The Cayman Articles provide for expense advancement provisions for indemnified persons. </w:t>
      </w:r>
    </w:p>
    <w:p>
      <w:pPr>
        <w:pStyle w:val="TextBody"/>
        <w:bidi w:val="0"/>
        <w:spacing w:before="360" w:after="0"/>
        <w:jc w:val="left"/>
        <w:rPr>
          <w:rFonts w:ascii="Times New Roman" w:hAnsi="Times New Roman"/>
          <w:sz w:val="20"/>
        </w:rPr>
      </w:pPr>
      <w:r>
        <w:rPr>
          <w:rFonts w:ascii="Times New Roman" w:hAnsi="Times New Roman"/>
          <w:i/>
          <w:sz w:val="20"/>
        </w:rPr>
        <w:t>Director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Both the MBCA and the Companies Act do not have a specific statute governing either the establishment of director compensation, or the fairness of director compensation. The Board after the Redomestication will establish the compensation of its directors. </w:t>
      </w:r>
    </w:p>
    <w:p>
      <w:pPr>
        <w:pStyle w:val="TextBody"/>
        <w:bidi w:val="0"/>
        <w:spacing w:before="360" w:after="0"/>
        <w:jc w:val="left"/>
        <w:rPr>
          <w:rFonts w:ascii="Times New Roman" w:hAnsi="Times New Roman"/>
          <w:sz w:val="20"/>
        </w:rPr>
      </w:pPr>
      <w:r>
        <w:rPr>
          <w:rFonts w:ascii="Times New Roman" w:hAnsi="Times New Roman"/>
          <w:i/>
          <w:sz w:val="20"/>
        </w:rPr>
        <w:t>Action by Written Consent of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the articles of organization or the bylaws provide otherwise, any action required or permitted to be taken at a meeting of the directors or a committee thereof may be taken without a meeting if all members of the board or committee, as the case may be, consent to the action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prescribe rules for the written consent of directors and the process is governed by a Cayman Islands exempted company’s articles of association, which typically allow board decisions to be made by unanimous written consent in lieu of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Neither the Massachusetts Articles or Massachusetts Bylaws, nor the Cayman Articles, limit the type or nature of a board action taken by written consent. A resolution in writing passed by the directors of the Cayman Company will be required to be executed by all the directors or committee thereof entitled to receive notice of meetings of directors or committee thereof. </w:t>
      </w:r>
    </w:p>
    <w:p>
      <w:pPr>
        <w:pStyle w:val="TextBody"/>
        <w:bidi w:val="0"/>
        <w:spacing w:before="360" w:after="0"/>
        <w:jc w:val="left"/>
        <w:rPr>
          <w:rFonts w:ascii="Times New Roman" w:hAnsi="Times New Roman"/>
          <w:sz w:val="20"/>
        </w:rPr>
      </w:pPr>
      <w:r>
        <w:rPr>
          <w:rFonts w:ascii="Times New Roman" w:hAnsi="Times New Roman"/>
          <w:i/>
          <w:sz w:val="20"/>
        </w:rPr>
        <w:t>Action by Written Consent of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any action required or permitted to be taken at a meeting of the shareholders may be taken without a meeting if the action is taken either: (1) by all shareholders entitled to vote on the action; or (2) to the extent permitted by the articles of organization, by shareholders having not less than the minimum number of votes necessary to take the action at a meeting at which all shareholders entitled to vote on the action are present and voting. In addition, the MBCA requires the corporation to give notice of the taking of corporate action without a meeting by less than unanimous written consent to those shareholders who did not consent in writing at least seven days before the action pursuant to the consent is taken. Any action required or permitted to be taken by the Massachusetts Corporation shareholders may be taken without a meeting if evidenced by consents signed by all Massachusetts Corporation shareholders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restriction on shareholder action by written consent and the process is governed by a Cayman Islands exempted company’s articles of association. The Cayman Articles provide that an ordinary resolution or a special resolution in writing signed by all shareholders entitled to receive notice of and to attend and vote at a general meeting of the Cayman Company will be as valid and effective as if such resolution had been passed at a meeting of the shareholders. </w:t>
      </w:r>
    </w:p>
    <w:p>
      <w:pPr>
        <w:pStyle w:val="TextBody"/>
        <w:bidi w:val="0"/>
        <w:spacing w:before="360" w:after="0"/>
        <w:jc w:val="left"/>
        <w:rPr>
          <w:rFonts w:ascii="Times New Roman" w:hAnsi="Times New Roman"/>
          <w:sz w:val="20"/>
        </w:rPr>
      </w:pPr>
      <w:r>
        <w:rPr>
          <w:rFonts w:ascii="Times New Roman" w:hAnsi="Times New Roman"/>
          <w:i/>
          <w:sz w:val="20"/>
        </w:rPr>
        <w:t>Dividends and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further restricted in the articles of organization, the MBCA permits a corporation to declare and pay dividends unless, if the corporation is a going concern, the corporation would not be able to pay its existing and reasonably foreseeable debts, liabilities and obligations, whether or not liquidated, matured, asserted or contingent, as they become due in the usual course of business or the corporation’s total assets would be less than the sum of its total liabilities plus, unless the articles of organization permit otherwise, the amount that would be needed, if the corporation were to be dissolved at the time of the distribution, to satisfy the preferential rights upon dissolution of shareholders whose preferential rights are superior to those receiving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Companies Act and the Cayman Articles, the directors, by resolution, may declare dividends on shares in issue and authorize payment out of the funds of the Cayman Company lawfully available therefor. The directors may, subject to the preference of any classes of shares, authorize a dividend at such time and of such an amount as they think fit if they are satisfied that the Cayman Company will have sufficient profits, retained earnings and/or share premium lawfully available therefor and, immediately after the payment of the dividend, satisfy the solvency test (that is, if the directors can determine based on the facts at the time that the company can in the future, following the payment of the dividend, pay its debts as they fall due in the ordinary course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Restrictions on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While Massachusetts law provides certain protections to shareholders in connection with certain business combinations, which can be found in Chapter 110F of the Massachusetts General Laws, Cayman Islands law does not provide equivalent statutory protections to shareholders. Under Cayman Islands law, any specific provisions relating to business combinations need to be set out expressly in the articles of association of a Cayman Islands exempted company. See “Shareholder Vote for Mergers and Other Corporate Reorganizations” below.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Corporation is subject to the provisions of Chapter 110F of the Massachusetts General Laws. In general, Chapter 110F prohibits a publicly held Massachusetts corporation from engaging in a “business combination” with an “interested shareholder” for a three-year period following the time that this shareholder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five percent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Chapter 110F, a business combination between a corporation and an interested shareholder is prohibited unless it satisfies one of the following conditions: before the shareholder became interested, the corporation’s board of directors approved either the business combination or the transaction which resulted in the shareholder becoming an interested shareholder; upon consummation of the transaction which resulted in the shareholder becoming an interested shareholder, the interested shareholder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shareholder became interested, the business combination was approved by the board of directors of the corporation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Massachusetts corporation may “opt out” of these provisions with an express provision in its original articles of organization or an express provision in its articles of organization or bylaws resulting from a shareholders’ amendment approved by at least a majority of the outstanding voting shares. The Massachusetts Corporation has not opted out of these provisions. As a result, mergers or other takeover or change in control attempts of the Massachusetts Corporation may be discouraged or prevented.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Vote for Mergers and Other Corporate Reorganizations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merger, share exchange and sale of all or substantially all assets of a corporation must be approved by the board of directors and, unless (1) a greater percentage vote is required by the corporation’s articles of organization, bylaws, or board, or (2) a lesser percentage vote is required by the articles of organization, the merger, share exchange or sale of assets must be approved by two-thirds of all the shares entitled to vote on the matter. The articles of organization may provide for a lesser vote than two-thirds but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less than a majority of the shares entitled to vote on the matter. The Massachusetts Articles provide that a merger, consolidation, or sale of substantially all of the assets of the corporation may be approved by a majority of all of the shares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Cayman Company requires (i) not less than a two-thirds majority of the votes cast by such shareholders attending and voting in person or, where proxies are allowed, by proxy at a quorate general meeting of the Cayman Company and where a poll is taken, regard shall be had in computing a majority to the number of votes to which each shareholder is entitled or (ii) the written resolution of all shareholders entitled to vote at such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Cayman Islands exempted company may be acquired through a tender offer by a third party. Where the holders of 90% or more in value of a class of the Cayman Company’s shares (excluding any shares already beneficially owned by the offeror) have within four months of the making of an offer accepted an offer for their shares in the Cayman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Cayman Company’s shares but does not exercise its “squeeze out” right, then the non-accepting shareholders have no statutory right to require the offeror to acquire their shares on the same terms as the original offer. </w:t>
      </w:r>
    </w:p>
    <w:p>
      <w:pPr>
        <w:pStyle w:val="TextBody"/>
        <w:bidi w:val="0"/>
        <w:spacing w:before="240" w:after="0"/>
        <w:jc w:val="left"/>
        <w:rPr>
          <w:rFonts w:ascii="Times New Roman" w:hAnsi="Times New Roman"/>
          <w:sz w:val="20"/>
        </w:rPr>
      </w:pPr>
      <w:r>
        <w:rPr>
          <w:rFonts w:ascii="Times New Roman" w:hAnsi="Times New Roman"/>
          <w:sz w:val="20"/>
        </w:rPr>
        <w:t xml:space="preserve">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 </w:t>
      </w:r>
    </w:p>
    <w:p>
      <w:pPr>
        <w:pStyle w:val="TextBody"/>
        <w:bidi w:val="0"/>
        <w:spacing w:before="360" w:after="0"/>
        <w:jc w:val="left"/>
        <w:rPr>
          <w:rFonts w:ascii="Times New Roman" w:hAnsi="Times New Roman"/>
          <w:i/>
          <w:sz w:val="20"/>
        </w:rPr>
      </w:pPr>
      <w:r>
        <w:rPr>
          <w:rFonts w:ascii="Times New Roman" w:hAnsi="Times New Roman"/>
          <w:i/>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shareholders have appraisal rights in the event of certain corporate actions such as a merger, share exchange or action that materially and adversely affects the rights of a shareholder. If a proposed corporate action requiring appraisal rights is submitted to a vote at a shareholder meeting, a shareholder who wishes to assert appraisal rights must: (1) deliver to the corporation, before the vote is taken, written notice of intent to demand payment for shares if the proposed action is effected; and (2) not vote any shares in favor of the proposed action. The corporation is required to pay fair value to a shareholder exercising appraisal rights for the shares held by such shareholder. If fair value is unsettled, the MBCA provides for resolution of fair value in a single equitable proceeding in a court in the county in Massachusetts where the corporation’s principal office or registered office is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mechanics and timing procedures vary somewhat between Massachusetts and the Cayman Islands, but both require technical compliance with specific notice and payment protocols. </w:t>
      </w:r>
    </w:p>
    <w:p>
      <w:pPr>
        <w:pStyle w:val="TextBody"/>
        <w:bidi w:val="0"/>
        <w:spacing w:before="360" w:after="0"/>
        <w:jc w:val="left"/>
        <w:rPr>
          <w:rFonts w:ascii="Times New Roman" w:hAnsi="Times New Roman"/>
          <w:i/>
          <w:sz w:val="20"/>
        </w:rPr>
      </w:pPr>
      <w:r>
        <w:rPr>
          <w:rFonts w:ascii="Times New Roman" w:hAnsi="Times New Roman"/>
          <w:i/>
          <w:sz w:val="20"/>
        </w:rPr>
        <w:t xml:space="preserve">Special Meetings of Shareholders and General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special meetings of shareholders to be called by the board of directors or by any other person authorized in the articles of organization or bylaws to call a special shareholder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Pursuant to Petition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 shareholder of a corporation may apply to the superior court of the county where a corporation’s principal office or, if none in the Commonwealth of Massachusetts, its registered office is located if an annual meeting was not held within the earlier of six months after the end of the corporation’s fiscal year or 15 months after its last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provision allowing shareholders to petition a court to compel a general meeting and Cayman Islands exempted companies are not required to hold annual general meetings, unless otherwise set out expressly in the articles of association of a Cayman Islands exempted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Adjournment of Shareholder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if a meeting of shareholders is adjourned due to lack of a quorum and the adjournment is for more than 120 days, or if after the adjournment a new record date is fixed for the adjourned meeting, notice of the adjourned meeting must be given to each shareholder of record entitled to vote at the meeting. At the adjourned meeting the corporation may transact any business that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adjournment of shareholder meetings is not regulated by statute and is instead governed by a Cayman Islands exempted company’s articles of association. Typically, a Cayman Islands exempted company’s articles provide that if a meeting is not quorate, it may be adjourned to a later date without requiring new notice. There is no statutory requirement to provide notice of an adjourned meeting unless otherwise set out expressly in the articles of association of a Cayman Islands exempted company. </w:t>
      </w:r>
    </w:p>
    <w:p>
      <w:pPr>
        <w:pStyle w:val="TextBody"/>
        <w:bidi w:val="0"/>
        <w:spacing w:before="360" w:after="0"/>
        <w:jc w:val="left"/>
        <w:rPr>
          <w:rFonts w:ascii="Times New Roman" w:hAnsi="Times New Roman"/>
          <w:i/>
          <w:sz w:val="20"/>
        </w:rPr>
      </w:pPr>
      <w:r>
        <w:rPr>
          <w:rFonts w:ascii="Times New Roman" w:hAnsi="Times New Roman"/>
          <w:i/>
          <w:sz w:val="20"/>
        </w:rPr>
        <w:t xml:space="preserve">Duration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proxy executed by a shareholder will remain valid for a period of eleven months, unless the proxy provides for a longer period.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equivalent.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Quorum and Voting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the articles of organization and bylaws may establish quorum and voting requirements. If the articles of organization and bylaws are silent as to specific quorum and voting requirements: (a) a majority of the votes entitled to be cast on a matter constitutes a quorum for action on a matter; (b) favorable action on a matter, other than the election of directors, is taken by a voting group if the votes cast within the group favoring the action exceed the votes cast opposing the action; (c) directors are elected by a plurality of the votes cast by the shares entitled to vote in the election at a meeting at which a quorum is present; and (d) where a separate vote by a class or series is required, a majority of the votes entitled to be cast on the matter by the voting group constitutes a quorum of that voting group for action on that matter and favorable action on a matter, other than the election of directors, is taken by a voting group if the votes cast within the group favoring the action exceed the votes cast opposing the action. A bylaw dealing with quorum or voting requirements for shareholders, including additional voting groups, may not be adopted,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quorum requirements are not regulated by statute and are instead governed by a Cayman Islands exempted company’s articles of association. Business may only be transacted at a meeting of shareholders of a Cayman Islands exempted company if a quorum is present. The Cayman Articles provide that the holders of record of one-third of the issued and outstanding shares entitled to vote, present in person or represented by proxy, shall constitute a quorum at any meeting of shareholders.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Inspection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upon five days written notice a shareholder of a corporation is entitled to inspect and copy, during regular business hours at the office where they are maintained, copies of any of the following records of the corporation: (1) articles of organization and bylaws, (2) resolutions adopted by the board of directors creating one or more classes or series of shares and fixing their rights and preferences, (3) minutes and written consents of all shareholders’ meetings for the past three years, (4) all written communications to shareholders generally within the past three years, including financial statements furnished, (5) a list of the names and business addresses of the corporation’s current directors and officers, and (6) the corporation’s most recent annual report delivered to the Secretary of the Commonwealth.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Doesn’t Change After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Apart from being governed by the Cayman Articles, the Companies Act, and the common law of the Cayman Islands, following completion of the Redomestication, the Company will continue to exist in the form of a Cayman Islands exempted company and will continue to be treated as a U.S. corporation for all purposes under the Code. By virtue of the Redomestication, all of the rights, privileges and powers of the Massachusetts Corporation, and all property, real, personal, and mixed, and all debts due to the Massachusetts Corporation, as well as all other things and causes of action belonging to the Massachusetts Corporation, will remain vested in the Cayman Company and will be the property of the Cayman Company. In addition, all debts, liabilities, and duties of the Massachusetts Corporation will remain attached to the Cayman Company and may be enforced against the Cayman Company. </w:t>
      </w:r>
    </w:p>
    <w:p>
      <w:pPr>
        <w:pStyle w:val="TextBody"/>
        <w:bidi w:val="0"/>
        <w:spacing w:before="360" w:after="0"/>
        <w:jc w:val="left"/>
        <w:rPr>
          <w:rFonts w:ascii="Times New Roman" w:hAnsi="Times New Roman"/>
          <w:i/>
          <w:sz w:val="20"/>
        </w:rPr>
      </w:pPr>
      <w:r>
        <w:rPr>
          <w:rFonts w:ascii="Times New Roman" w:hAnsi="Times New Roman"/>
          <w:i/>
          <w:sz w:val="20"/>
        </w:rPr>
        <w:t xml:space="preserve">No Change in the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Redomestication will not result in any change in the Company’s business, management, obligations, assets, or liabilities (other than as a result of the transaction costs related to the Redomestication).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management, including all directors and officers, will remain the same in connection with the Redomestication and will have the same positions within the Cayman Company. To the extent that the Redomestication will require the consent or waiver of a third party, the Company will use commercially reasonable efforts to obtain such consent or waiver before completing the Redomestication. The Company does not expect that any such required consent will impede its ability to redomesticate to the Cayman Islands. The Redomestication will not otherwise adversely affect any of the Company’s material contracts with any third parties, and the Company’s rights and obligations under such material contractual arrangements will continue as rights and obligations of the Cayman Company. </w:t>
      </w:r>
    </w:p>
    <w:p>
      <w:pPr>
        <w:pStyle w:val="TextBody"/>
        <w:bidi w:val="0"/>
        <w:spacing w:before="360" w:after="0"/>
        <w:jc w:val="left"/>
        <w:rPr>
          <w:rFonts w:ascii="Times New Roman" w:hAnsi="Times New Roman"/>
          <w:i/>
          <w:sz w:val="20"/>
        </w:rPr>
      </w:pPr>
      <w:r>
        <w:rPr>
          <w:rFonts w:ascii="Times New Roman" w:hAnsi="Times New Roman"/>
          <w:i/>
          <w:sz w:val="20"/>
        </w:rPr>
        <w:t xml:space="preserve">No Change in Nasdaq Listing or SEC Reporting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continue to be a publicly held company following completion of the Redomestication, and the Cayman Shares will continue to be listed on Nasdaq and traded under the symbol “KRSA”. We expect that the Cayman Shares will trade under a new CUSIP. The Company will continue to file required periodic reports and other documents with the SEC. Except as related to the implementation of a new CUSIP, there is not expected to be any interruption in the trading of the Cayman Shares as a result of the Redomestication. The Company and its shareholders will be in the same respective positions under the federal securities laws after the Redomestication as the Company and its shareholders were prior to the Redomestication. </w:t>
      </w:r>
    </w:p>
    <w:p>
      <w:pPr>
        <w:pStyle w:val="TextBody"/>
        <w:bidi w:val="0"/>
        <w:spacing w:before="360" w:after="0"/>
        <w:jc w:val="left"/>
        <w:rPr>
          <w:rFonts w:ascii="Times New Roman" w:hAnsi="Times New Roman"/>
          <w:i/>
          <w:sz w:val="20"/>
        </w:rPr>
      </w:pPr>
      <w:r>
        <w:rPr>
          <w:rFonts w:ascii="Times New Roman" w:hAnsi="Times New Roman"/>
          <w:i/>
          <w:sz w:val="20"/>
        </w:rPr>
        <w:t xml:space="preserve">No Material Accounting Implications </w:t>
      </w:r>
    </w:p>
    <w:p>
      <w:pPr>
        <w:pStyle w:val="TextBody"/>
        <w:bidi w:val="0"/>
        <w:spacing w:before="120" w:after="0"/>
        <w:jc w:val="left"/>
        <w:rPr>
          <w:rFonts w:ascii="Times New Roman" w:hAnsi="Times New Roman"/>
          <w:sz w:val="20"/>
        </w:rPr>
      </w:pPr>
      <w:r>
        <w:rPr>
          <w:rFonts w:ascii="Times New Roman" w:hAnsi="Times New Roman"/>
          <w:sz w:val="20"/>
        </w:rPr>
        <w:t xml:space="preserve">Effecting the Redomestication will not have any material accounting implications. </w:t>
      </w:r>
    </w:p>
    <w:p>
      <w:pPr>
        <w:pStyle w:val="TextBody"/>
        <w:bidi w:val="0"/>
        <w:spacing w:before="360" w:after="0"/>
        <w:jc w:val="left"/>
        <w:rPr>
          <w:rFonts w:ascii="Times New Roman" w:hAnsi="Times New Roman"/>
          <w:i/>
          <w:sz w:val="20"/>
        </w:rPr>
      </w:pPr>
      <w:r>
        <w:rPr>
          <w:rFonts w:ascii="Times New Roman" w:hAnsi="Times New Roman"/>
          <w:i/>
          <w:sz w:val="20"/>
        </w:rPr>
        <w:t xml:space="preserve">No Exchange of Stock Certificates Required </w:t>
      </w:r>
    </w:p>
    <w:p>
      <w:pPr>
        <w:pStyle w:val="TextBody"/>
        <w:bidi w:val="0"/>
        <w:spacing w:before="120" w:after="0"/>
        <w:jc w:val="left"/>
        <w:rPr>
          <w:rFonts w:ascii="Times New Roman" w:hAnsi="Times New Roman"/>
          <w:sz w:val="20"/>
        </w:rPr>
      </w:pPr>
      <w:r>
        <w:rPr>
          <w:rFonts w:ascii="Times New Roman" w:hAnsi="Times New Roman"/>
          <w:sz w:val="20"/>
        </w:rPr>
        <w:t xml:space="preserve">Shareholders will not be required to exchange their existing stock certificates (if any) for new share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the Company’s common stock and the Company’s convertible preferred stock (together, the “Company stock”) of the Redomestication. The discussion does not purport to be a complete analysis of all potential tax considerations. The considerations of other U.S. federal tax laws, such as estate and gift tax laws, and any applicable state, local or non-U.S. tax laws, are not discussed. This discussion is based on the Internal Revenue Code of 1986, as amended (the “Code”), Treasury Regulations promulgated under the Code,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U.S. Holder. The Company has not sought and will not seek any rulings from the IRS regarding the matters discussed below. There can be no assurance the IRS or a court will not take a contrary position to that discussed below regarding the tax considerations of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Company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Company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Company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Company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Company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the Company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Company stock, the tax treatment of a partner in the partnership will depend on the status of the partner, the activities of the partnership, and certain determinations made at the partner level. Accordingly, a partnership holding Company stock and each partner in such partnership is urged to consult its tax advisor regarding the U.S. federal income tax considerations to it of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Company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for informational purposes only and is not tax advice. Each holder of Company stock is urged to consult its tax advisor with respect to the application of the U.S. federal income tax laws to its particular situation as well as any tax considerations of the Redomestication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U.S. Tax Status of the Cayman Company after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7874 of the Code, the Company after the Redomestication is and will continue to be treated as a U.S. corporation for all purposes under the Code. As such, the Company after the Redomestication is subject to U.S. federal income tax on the Company’s worldwide taxable income (regardless of whether such income is “U.S. source” or “foreign source”) and is required to file a U.S. federal income tax return annually with the IRS. </w:t>
      </w:r>
    </w:p>
    <w:p>
      <w:pPr>
        <w:pStyle w:val="TextBody"/>
        <w:bidi w:val="0"/>
        <w:spacing w:before="360" w:after="0"/>
        <w:jc w:val="left"/>
        <w:rPr>
          <w:rFonts w:ascii="Times New Roman" w:hAnsi="Times New Roman"/>
          <w:i/>
          <w:sz w:val="20"/>
        </w:rPr>
      </w:pPr>
      <w:r>
        <w:rPr>
          <w:rFonts w:ascii="Times New Roman" w:hAnsi="Times New Roman"/>
          <w:i/>
          <w:sz w:val="20"/>
        </w:rPr>
        <w:t xml:space="preserve">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that, and the remainder of this discussion assumes that, the Redomestication will qualify as a “reorganization” for U.S. federal income tax purposes pursuant to Section 368(a)(1)(F) of the Code. As a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U.S. Holder will not recognize gain or loss upon the proposed Redomestication. A U.S. Holder will have the same aggregate basis in its Company stock after the Redomestication as such U.S. Holder had in the corresponding Company stock immediately prior to the Redomestication. A U.S. Holder’s holding period in the Company stock immediately following the Redomestication will include such U.S. Holder’s holding period in the corresponding Company stock immediately prior to the Redomestication. Each U.S. Holder of shares of Company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i/>
          <w:sz w:val="20"/>
        </w:rPr>
      </w:pPr>
      <w:r>
        <w:rPr>
          <w:rFonts w:ascii="Times New Roman" w:hAnsi="Times New Roman"/>
          <w:i/>
          <w:sz w:val="20"/>
        </w:rPr>
        <w:t xml:space="preserve">Tax Reporting Regarding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that receives shares of Company stock in the Redomestication is required to retain permanent records pertaining to the Redomestication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the Company or who owned securities of the Company with a basis of $1,000,000 or more is required to attach a statement to their tax returns for the year in which the Redomestication is consummated that contains the information listed in Treasury Regulations Section 1.368-3(b). Such statement must include the U.S. Holder’s tax basis in the holder’s Company stock and the fair market value of such stock. Each U.S. Holder is urged to consult with its tax advisor to comply with these rules.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of U.S. federal income tax considerations of the Redomestication is for general information purposes only and is not intended to be, and should not be construed as, tax advice. Determining the actual tax considerations of the Redomestication to a holder may be complex and will depend on such holder’s specific situation and on factors that are not within the Company’s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i/>
          <w:sz w:val="20"/>
        </w:rPr>
      </w:pPr>
      <w:r>
        <w:rPr>
          <w:rFonts w:ascii="Times New Roman" w:hAnsi="Times New Roman"/>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Redomestication does not require any Cayman Islands regulatory approval but certain documents will be required to be filed with the Cayman Islands Registrar of Companies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director’s undertaking confirming that the Cayman Company is able to pay its debts as they become due in the ordinary course of business together with a statement of the Cayman Company’s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sworn affidavit from a director stating that the Cayman Company is not in liquidation, subject to insolvency proceedings, or in the process of being wound up in any jurisdiction together with certain other declarations required under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provided by the Secretary of the Commonwealth of Massachusetts immediately prior to the Redomestication together with the charter documents of the Massachusetts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formal notice of continuation to be filed with the Cayman Islands Registrar of Companies, notifying it of the Cayman Company’s intent to continue as a Cayman Islands exempted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directors’ resolution resolving to change the domicile of the Massachusetts Corporation from Massachusetts to the Cayman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the above requirements are satisfied, the Cayman Islands Registrar of Companies will issue a Certificate of Continuation, which serves as evidence that the Cayman Company has been duly registered in the Cayman Islands and migrated out of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consummation of the Redomestication requires the filing of articles of charter surrender with the Secretary of the Commonwealth of Massachusetts, as provided in the Plan of Domestication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No other regulatory or governmental approvals or consents will be required in connection with the Redomestication. </w:t>
      </w:r>
    </w:p>
    <w:p>
      <w:pPr>
        <w:pStyle w:val="TextBody"/>
        <w:bidi w:val="0"/>
        <w:spacing w:before="360" w:after="0"/>
        <w:jc w:val="left"/>
        <w:rPr>
          <w:rFonts w:ascii="Times New Roman" w:hAnsi="Times New Roman"/>
          <w:i/>
          <w:sz w:val="20"/>
        </w:rPr>
      </w:pPr>
      <w:r>
        <w:rPr>
          <w:rFonts w:ascii="Times New Roman" w:hAnsi="Times New Roman"/>
          <w:i/>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Company’s common stock are not entitled to appraisal rights with respect to the Redomestication described in this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subject to various legal proceedings and claims that arise in the ordinary course of its business activities. As of the date of this proxy statement, the Company is not currently a party to any claim or litigation, the outcome of which, if determined adversely to it, would individually or in the aggregate be reasonably expected to have a material adverse effect on its business. Regardless of the outcome, litigation can have an adverse impact on the Company because of defense and settlement costs, diversion of management resources and other factors. </w:t>
      </w:r>
    </w:p>
    <w:p>
      <w:pPr>
        <w:pStyle w:val="TextBody"/>
        <w:bidi w:val="0"/>
        <w:spacing w:before="360" w:after="0"/>
        <w:jc w:val="left"/>
        <w:rPr>
          <w:rFonts w:ascii="Times New Roman" w:hAnsi="Times New Roman"/>
          <w:i/>
          <w:sz w:val="20"/>
        </w:rPr>
      </w:pPr>
      <w:r>
        <w:rPr>
          <w:rFonts w:ascii="Times New Roman" w:hAnsi="Times New Roman"/>
          <w:i/>
          <w:sz w:val="20"/>
        </w:rPr>
        <w:t xml:space="preserve">Enforcement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has a different body of securities laws as compared to the United States and may provide less protection to investors. Additionally, Cayman Islands companies may not have standing to sue before the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whether the courts of the Cayman Islands will recognize and enforce against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 of Certain Persons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the corporate laws of the Commonwealth of Massachusetts and the Cayman Islands are substantially comparable as to the rights of shareholders, at least on balance of the relevant considerations against one another and as relevant to the Company. As part of its process, the Board considered if domestication to the Cayman Islands would convey any non-ratable benefits on any of the Company’s directors or officers and did not identify any such non-ratable benefits. However, others may allege, and shareholders should be aware in voting on the Redomestication Proposal and the Redomestication Resolutions, that the Company’s directors and executive officers may be considered to have interests in the Redomestication that are different from, or in addition to, the interests of the shareholders generally to the extent that it might afford them greater limitations on liability under the common law of the Cayman Islands for acts in their capacities as directors or officers occurring after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should also be aware of the following relationships in considering the recommendation of the Board. Entities affiliated with Fairmount Funds Management LLC (“Fairmount”) and entities affiliated with Venrock Healthcare Capital Partners (“Venrock”) hold shares of the Company’s common stock and hold shares of the Series B Preferred Stock. Tomas Kiselak, a member of the Board, is a manager of Fairmount, and Nimish Shah, a member of the Board, is a voting member of the management entities of certain Venrock funds, as described in the footnotes to the table in the section titled “Security Ownership of Certain Beneficial Owners and Management.” If the Redomestication is effected, each outstanding share of Massachusetts Series B Preferred Stock will be automatically converted into one Cayman Series B Preferred Share, and the rights, preferences and privileges of the Massachusetts Series B Preferred Stock will be carried over into the Cayman Series B Certificate of Designation on terms that correspond to the existing terms of the Massachusetts Series B Preferred Stock. Those rights include the protective provisions requiring the consent of the holders of a majority of the outstanding Massachusetts Series B Preferred Stock before the Company may take specified actions, including the consummation of certain fundamental transactions, increases in the size of the Board and the retention or replacement of the Company’s independent registered public accounting firm, independent compensation consultant or corporate counsel, and the right of the holders of the Massachusetts Series B Preferred Stock, at all times when at least 30% of the originally issued shares remain outstanding, to elect four directors, each entitled to three votes on each matter presented to the Board. The Board considered these arrangements and concluded that, because the Cayman Series B Preferred Shares will have rights, preferences and privileges that correspond to those of the existing Massachusetts Series B Preferred Stock, the carryover of those rights on equivalent terms in the Redomestication does not confer a non-ratable benefit on the holders of the Massachusetts Series B Preferred Stock or on the directors affiliated with those holders. For a description of the terms of the Massachusetts Series B Preferred Stock and the Cayman Series B Preferred Shares, see the comparison table under the heading “Comparison of Rights of Holders of the Massachusetts Corporation Capital Stock and the Cayman Company Share Capital,” including the rows titled “Preferred Stock” and “Structure of Board of Directors; Term of Directors;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considered these potential interests, among other matters, in reaching the decision to approve the Redomestication and to recommend that the Company’s shareholders vote in favor of Proposal Nos. 1 and 2. </w:t>
      </w:r>
    </w:p>
    <w:p>
      <w:pPr>
        <w:pStyle w:val="TextBody"/>
        <w:bidi w:val="0"/>
        <w:spacing w:before="240" w:after="0"/>
        <w:jc w:val="left"/>
        <w:rPr>
          <w:rFonts w:ascii="Times New Roman" w:hAnsi="Times New Roman"/>
          <w:b/>
          <w:sz w:val="20"/>
        </w:rPr>
      </w:pPr>
      <w:bookmarkStart w:id="11" w:name="tx36079_12"/>
      <w:bookmarkEnd w:id="11"/>
      <w:r>
        <w:rPr>
          <w:rFonts w:ascii="Times New Roman" w:hAnsi="Times New Roman"/>
          <w:b/>
          <w:sz w:val="20"/>
        </w:rPr>
        <w:t xml:space="preserve">Proposal No. 1: To approve the domestication of the Company from the Commonwealth of Massachusetts to the Cayman Islands by domestication pursuant to the MBCA and to adopt the Redomestication Resolutions. </w:t>
      </w:r>
    </w:p>
    <w:p>
      <w:pPr>
        <w:pStyle w:val="TextBody"/>
        <w:bidi w:val="0"/>
        <w:spacing w:before="360" w:after="0"/>
        <w:jc w:val="left"/>
        <w:rPr>
          <w:rFonts w:ascii="Times New Roman" w:hAnsi="Times New Roman"/>
          <w:i/>
          <w:sz w:val="20"/>
        </w:rPr>
      </w:pPr>
      <w:r>
        <w:rPr>
          <w:rFonts w:ascii="Times New Roman" w:hAnsi="Times New Roman"/>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not less than two-thirds of the shares entitled to vote on the subject matter at the Special Meeting, assuming a quorum is present, is required for approval of Proposal No. 1. Abstentions and broker non-votes, if any, will have the same effect as votes “AGAINST” Proposal No.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Redomestication and the adoption of the Redomestication Resolutions. </w:t>
      </w:r>
    </w:p>
    <w:p>
      <w:pPr>
        <w:pStyle w:val="TextBody"/>
        <w:bidi w:val="0"/>
        <w:spacing w:before="240" w:after="0"/>
        <w:jc w:val="left"/>
        <w:rPr>
          <w:rFonts w:ascii="Times New Roman" w:hAnsi="Times New Roman"/>
          <w:b/>
          <w:sz w:val="20"/>
        </w:rPr>
      </w:pPr>
      <w:bookmarkStart w:id="12" w:name="tx36079_13"/>
      <w:bookmarkEnd w:id="12"/>
      <w:r>
        <w:rPr>
          <w:rFonts w:ascii="Times New Roman" w:hAnsi="Times New Roman"/>
          <w:b/>
          <w:sz w:val="20"/>
        </w:rPr>
        <w:t xml:space="preserve">Proposal No. 2: To resolve as a special resolution that: (i) the redomestication of the Company from the Commonwealth of Massachusetts to the Cayman Islands by way of continuation pursuant to the Companies Act and the Redomestication Resolutions be approved; and (ii) with effect from the registration of the Company in the Cayman Islands, the memorandum of association and articles of association in the form presented to the Special Meeting (with such further consequential amendments as may be deemed necessary by the Board) be and are adopted as the memorandum of association and articles of association of the Cayman Company with the name of the company as set out therein. </w:t>
      </w:r>
    </w:p>
    <w:p>
      <w:pPr>
        <w:pStyle w:val="TextBody"/>
        <w:bidi w:val="0"/>
        <w:spacing w:before="360" w:after="0"/>
        <w:jc w:val="left"/>
        <w:rPr>
          <w:rFonts w:ascii="Times New Roman" w:hAnsi="Times New Roman"/>
          <w:i/>
          <w:sz w:val="20"/>
        </w:rPr>
      </w:pPr>
      <w:r>
        <w:rPr>
          <w:rFonts w:ascii="Times New Roman" w:hAnsi="Times New Roman"/>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not less than two-thirds of the votes properly cast by the holders of the Company’s common stock in person or represented by proxy at the Special Meeting, assuming a quorum is present, is required for approval of Proposal No. 2. Abstentions and broker non-votes, if any, will not be treated as votes cast and will have no effect on the outcome of Proposal No. 2.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Proposal No. 2.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Conditionality of Proposal Nos. 1 and 2 </w:t>
      </w:r>
    </w:p>
    <w:p>
      <w:pPr>
        <w:pStyle w:val="TextBody"/>
        <w:bidi w:val="0"/>
        <w:spacing w:before="120" w:after="0"/>
        <w:jc w:val="left"/>
        <w:rPr>
          <w:rFonts w:ascii="Times New Roman" w:hAnsi="Times New Roman"/>
          <w:sz w:val="20"/>
        </w:rPr>
      </w:pPr>
      <w:r>
        <w:rPr>
          <w:rFonts w:ascii="Times New Roman" w:hAnsi="Times New Roman"/>
          <w:sz w:val="20"/>
        </w:rPr>
        <w:t xml:space="preserve">Approval of each of Proposal No. 1 and Proposal No. 2 is a condition to the completion of the Redomestication. Therefore, the Redomestication will not be effected unless both Proposal No. 1 and Proposal No. 2 are approved by the requisite votes of the Company’s shareholders. If either Proposal No. 1 or Proposal No. 2 is not approved, the Redomestication will not be effected, even if the other proposal is approved, and the Company will remain a Massachusetts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No Separate Vote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the Company’s common stock as of the Record Date are entitled to vote at the Special Meeting. The Massachusetts Series A Preferred Stock has no voting rights except as required by law, and the Massachusetts Series B Preferred Stock has no voting rights on the matters to be presented at the Special Meeting. As of the Record Date, no shares of Series A Preferred Stock and 4,148 shares of Series B Preferred Stock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RECOMMENDS A VOTE “FOR” EACH OF PROPOSAL NOS. 1 AND 2 AND THE ADOPTION OF THE REDOMESTICATION RESOLUTIONS.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36079_14"/>
      <w:bookmarkEnd w:id="13"/>
      <w:r>
        <w:rPr>
          <w:rFonts w:ascii="Times New Roman" w:hAnsi="Times New Roman"/>
          <w:b/>
          <w:sz w:val="20"/>
        </w:rPr>
        <w:t xml:space="preserve">PROPOSAL NO. 3: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asking its shareholders to approve one or more adjournments of the Special Meeting, if necessary, to solicit additional proxies if there is not a sufficient number of votes in favor of the Domestication Proposal and/or the Continuation and Cayman Articles Proposal (the “Adjournment Proposal”). If shareholders approve the Adjournment Proposal, the Company could adjourn the Special Meeting, and any adjourned session of the Special Meeting, and use the additional time to solicit additional proxies, including the solicitation of proxies from shareholders that have previously returned properly authorized proxies voting against approval of the Domestication Proposal or the Continuation and Cayman Articles Proposal. Among other things, approval of the Adjournment Proposal could mean that, even if the Company had received proxies representing a sufficient number of votes against approval of the Domestication Proposal or the Continuation and Cayman Articles Proposal such that either such proposal would be defeated, the Company could adjourn the Special Meeting without a vote on the Domestication Proposal or the Continuation and Cayman Articles Proposal and seek to convince the holders of those shares to change their votes to votes in favor of approval of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the Domestication Proposal requires the affirmative vote of not less than two-thirds of the shares of common stock outstanding and entitled to vote at the Special Meeting, every share that is not voted at the Special Meeting has the same effect as a vote against the Domestication Proposal. The Board believes that, if the number of shares of common stock present or represented at the Special Meeting and voting in favor of the Domestication Proposal and the Continuation and Cayman Articles Proposal is insufficient to approve those proposals, it is in the best interests of the shareholders to enable the Board of Directors to continue to seek to obtain a sufficient number of additional votes to approve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and regardless of whether the Adjournment Proposal is approved, if there are insufficient votes to approve Proposal Nos. 1 and 2 at the time of the Special Meeting, the chair of the Special Meeting may adjourn the Special Meeting to another place, date or time, or the persons named as proxies may vote the shares represented by properly authorized proxies in their discretion to adjourn the Special Meeting to another place, date or time, in each case in order to solicit additional proxies, to the extent permitted by the Company’s bylaws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order of the resolutions on the notice to the Special Meeting, the Adjournment Proposal may be presented first to the shareholders if, based on the tabulated vote collected at the time of the Special Meeting, there are insufficient votes for, or otherwise in connection with, the approval of the Domestication Proposal and the Continuation and Cayman Articles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presented at the Special Meeting and is not approved, the Company may not be able to adjourn the Special Meeting to a later date in order to solicit additional proxies. If the Company is unable to adjourn the Special Meeting to solicit additional proxies, and sufficient votes in favor of the Domestication Proposal and the Continuation and Cayman Articles Proposal have not been received at the time of the Special Meeting, the Redomestication would not be approved and would not be effected, and the Company would remain a Massachusetts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affirmative votes exceeding the number of votes opposing the Adjournment Proposal, assuming a quorum is present, is required for the approval of the Adjournment Proposal. Abstentions are not counted as votes cast and will have no effect on the outcome of the Adjournment Proposal. Because each of the proposals to be voted on at the Special Meeting is considered “non-routine” under applicable rules, brokers, banks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nominees do not have discretionary authority to vote on any proposal at the Special Meeting, and the Company therefore does not expect any broker non-votes at the Special Meeting. Any broker non-votes, if received, would have no effect on the outcome of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determined and believes that adjourning the Special Meeting, if necessary, to solicit additional proxies if there is not a sufficient number of votes in favor of the Domestication Proposal and/or the Continuation and Cayman Articles Proposal is fair to, in the best interests of, and advisable to, the Company and its shareholders and has approved and adopted the proposal.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UNANIMOUSLY RECOMMENDS THAT YOU VOTE “FOR” THE ADJOURNMENT PROPOSAL. PROPERLY AUTHORIZED PROXIES SOLICITED BY THE BOARD OF DIRECTORS WILL BE VOTED “FOR” THE APPROVAL OF THE ADJOURNMENT PROPOSAL (PROPOSAL 3 ON YOUR PROXY CARD) UNLESS INSTRUCTIONS TO THE CONTRARY ARE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36079_15"/>
      <w:bookmarkEnd w:id="14"/>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Company’s common stock as of October 15, 2026, the Record Date for the Special Meeting,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the Company to be the beneficial owner of more than 5% of the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Company’s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Company’s securities. Under such rules, beneficial ownership includes any shares over which the individual or entity has sole or shared voting power or investment power as well as any shares that the individual or entity has the right to acquire within 60 days of October 15, 2026. Shares of the Company’s common stock that an individual or entity has the right to acquire within 60 days of October 15, 2026 are deemed to be outstanding and beneficially owned by the individual or entity for the purpose of computing the percentage ownership of that individual or entity, but they are not treated as outstanding for the purpose of computing the percentage ownership of any other person. To the Company’s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45,541,358 shares of common stock outstanding as of October 15, 2026. The number of shares beneficially owned includes shares of common stock that each person has the right to acquire within 60 days of October 15, 2026, including upon the exercise of stock options and warrants. These stock options and warrants shall be deemed to be outstanding for the purpose of computing the percentage of outstanding shares of the Company’s common stock owned by such person but shall not be deemed to be outstanding for the purpose of computing the percentage of outstanding shares of the Company’s common stock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Korsana Biosciences, Inc., 203 Crescent Street, Bldgs. #3/3A/4, Suite 503, Waltham, Massachusetts 02453. </w:t>
      </w:r>
    </w:p>
    <w:p>
      <w:pPr>
        <w:pStyle w:val="TextBody"/>
        <w:bidi w:val="0"/>
        <w:spacing w:before="0" w:after="0"/>
        <w:jc w:val="left"/>
        <w:rPr/>
      </w:pPr>
      <w:r>
        <w:rPr/>
        <w:t> </w:t>
      </w:r>
    </w:p>
    <w:tbl>
      <w:tblPr>
        <w:tblW w:w="13620" w:type="dxa"/>
        <w:jc w:val="center"/>
        <w:tblInd w:w="0" w:type="dxa"/>
        <w:tblLayout w:type="fixed"/>
        <w:tblCellMar>
          <w:top w:w="0" w:type="dxa"/>
          <w:left w:w="0" w:type="dxa"/>
          <w:bottom w:w="0" w:type="dxa"/>
          <w:right w:w="0" w:type="dxa"/>
        </w:tblCellMar>
      </w:tblPr>
      <w:tblGrid>
        <w:gridCol w:w="3755"/>
        <w:gridCol w:w="120"/>
        <w:gridCol w:w="258"/>
        <w:gridCol w:w="4217"/>
        <w:gridCol w:w="60"/>
        <w:gridCol w:w="120"/>
        <w:gridCol w:w="370"/>
        <w:gridCol w:w="4660"/>
        <w:gridCol w:w="6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bottom"/>
          </w:tcPr>
          <w:p>
            <w:pPr>
              <w:pStyle w:val="TableContents"/>
              <w:bidi w:val="0"/>
              <w:spacing w:before="0" w:after="283"/>
              <w:jc w:val="left"/>
              <w:rPr>
                <w:b/>
              </w:rPr>
            </w:pPr>
            <w:r>
              <w:rPr>
                <w:b/>
              </w:rPr>
              <w:t>NAME OF BENEFICIAL OWNER</w:t>
            </w:r>
          </w:p>
        </w:tc>
        <w:tc>
          <w:tcPr>
            <w:tcW w:w="120" w:type="dxa"/>
            <w:tcBorders/>
            <w:vAlign w:val="bottom"/>
          </w:tcPr>
          <w:p>
            <w:pPr>
              <w:pStyle w:val="TableContents"/>
              <w:bidi w:val="0"/>
              <w:spacing w:before="0" w:after="283"/>
              <w:jc w:val="left"/>
              <w:rPr/>
            </w:pPr>
            <w:r>
              <w:rPr/>
              <w:t>  </w:t>
            </w:r>
          </w:p>
        </w:tc>
        <w:tc>
          <w:tcPr>
            <w:tcW w:w="4475" w:type="dxa"/>
            <w:gridSpan w:val="2"/>
            <w:tcBorders/>
            <w:vAlign w:val="bottom"/>
          </w:tcPr>
          <w:p>
            <w:pPr>
              <w:pStyle w:val="TableContents"/>
              <w:bidi w:val="0"/>
              <w:spacing w:before="0" w:after="283"/>
              <w:jc w:val="center"/>
              <w:rPr>
                <w:b/>
              </w:rPr>
            </w:pPr>
            <w:r>
              <w:rPr>
                <w:b/>
              </w:rPr>
              <w:t>NUMBER OF SHARES 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30" w:type="dxa"/>
            <w:gridSpan w:val="2"/>
            <w:tcBorders/>
            <w:vAlign w:val="bottom"/>
          </w:tcPr>
          <w:p>
            <w:pPr>
              <w:pStyle w:val="TableContents"/>
              <w:bidi w:val="0"/>
              <w:spacing w:before="0" w:after="283"/>
              <w:jc w:val="center"/>
              <w:rPr>
                <w:b/>
              </w:rPr>
            </w:pPr>
            <w:r>
              <w:rPr>
                <w:b/>
              </w:rPr>
              <w:t>PERCENTAGE OF SHARES OUTSTANDING</w:t>
              <w:br/>
              <w:t>BENEFICIALLY OWNED</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Shareholders</w:t>
            </w:r>
          </w:p>
        </w:tc>
        <w:tc>
          <w:tcPr>
            <w:tcW w:w="12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42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46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Fairmount(1)</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4217" w:type="dxa"/>
            <w:tcBorders/>
            <w:vAlign w:val="bottom"/>
          </w:tcPr>
          <w:p>
            <w:pPr>
              <w:pStyle w:val="TableContents"/>
              <w:bidi w:val="0"/>
              <w:spacing w:before="0" w:after="283"/>
              <w:jc w:val="center"/>
              <w:rPr/>
            </w:pPr>
            <w:r>
              <w:rPr/>
              <w:t>9,103,729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4660" w:type="dxa"/>
            <w:tcBorders/>
            <w:vAlign w:val="bottom"/>
          </w:tcPr>
          <w:p>
            <w:pPr>
              <w:pStyle w:val="TableContents"/>
              <w:bidi w:val="0"/>
              <w:spacing w:before="0" w:after="283"/>
              <w:jc w:val="center"/>
              <w:rPr/>
            </w:pPr>
            <w:r>
              <w:rPr/>
              <w:t>19.99%</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12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4217" w:type="dxa"/>
            <w:tcBorders/>
            <w:shd w:fill="CCEEFF" w:val="clear"/>
            <w:vAlign w:val="bottom"/>
          </w:tcPr>
          <w:p>
            <w:pPr>
              <w:pStyle w:val="TableContents"/>
              <w:bidi w:val="0"/>
              <w:spacing w:before="0" w:after="283"/>
              <w:jc w:val="center"/>
              <w:rPr/>
            </w:pPr>
            <w:r>
              <w:rPr/>
              <w:t>4,549,585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4660" w:type="dxa"/>
            <w:tcBorders/>
            <w:shd w:fill="CCEEFF" w:val="clear"/>
            <w:vAlign w:val="bottom"/>
          </w:tcPr>
          <w:p>
            <w:pPr>
              <w:pStyle w:val="TableContents"/>
              <w:bidi w:val="0"/>
              <w:spacing w:before="0" w:after="283"/>
              <w:jc w:val="center"/>
              <w:rPr/>
            </w:pPr>
            <w:r>
              <w:rPr/>
              <w:t>9.99%</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4217" w:type="dxa"/>
            <w:tcBorders/>
            <w:vAlign w:val="bottom"/>
          </w:tcPr>
          <w:p>
            <w:pPr>
              <w:pStyle w:val="TableContents"/>
              <w:bidi w:val="0"/>
              <w:spacing w:before="0" w:after="283"/>
              <w:jc w:val="center"/>
              <w:rPr/>
            </w:pPr>
            <w:r>
              <w:rPr/>
              <w:t>4,549,587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4660" w:type="dxa"/>
            <w:tcBorders/>
            <w:vAlign w:val="bottom"/>
          </w:tcPr>
          <w:p>
            <w:pPr>
              <w:pStyle w:val="TableContents"/>
              <w:bidi w:val="0"/>
              <w:spacing w:before="0" w:after="283"/>
              <w:jc w:val="center"/>
              <w:rPr/>
            </w:pPr>
            <w:r>
              <w:rPr/>
              <w:t>9.99%</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FMR LLC(4)</w:t>
            </w:r>
          </w:p>
        </w:tc>
        <w:tc>
          <w:tcPr>
            <w:tcW w:w="12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4217" w:type="dxa"/>
            <w:tcBorders/>
            <w:shd w:fill="CCEEFF" w:val="clear"/>
            <w:vAlign w:val="bottom"/>
          </w:tcPr>
          <w:p>
            <w:pPr>
              <w:pStyle w:val="TableContents"/>
              <w:bidi w:val="0"/>
              <w:spacing w:before="0" w:after="283"/>
              <w:jc w:val="center"/>
              <w:rPr/>
            </w:pPr>
            <w:r>
              <w:rPr/>
              <w:t>3,144,797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4660" w:type="dxa"/>
            <w:tcBorders/>
            <w:shd w:fill="CCEEFF" w:val="clear"/>
            <w:vAlign w:val="bottom"/>
          </w:tcPr>
          <w:p>
            <w:pPr>
              <w:pStyle w:val="TableContents"/>
              <w:bidi w:val="0"/>
              <w:spacing w:before="0" w:after="283"/>
              <w:jc w:val="center"/>
              <w:rPr/>
            </w:pPr>
            <w:r>
              <w:rPr/>
              <w:t>6.90%</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w:t>
              <w:br/>
              <w:t>Management(5)</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4217" w:type="dxa"/>
            <w:tcBorders/>
            <w:vAlign w:val="bottom"/>
          </w:tcPr>
          <w:p>
            <w:pPr>
              <w:pStyle w:val="TableContents"/>
              <w:bidi w:val="0"/>
              <w:spacing w:before="0" w:after="283"/>
              <w:jc w:val="center"/>
              <w:rPr/>
            </w:pPr>
            <w:r>
              <w:rPr/>
              <w:t>2,775,788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4660" w:type="dxa"/>
            <w:tcBorders/>
            <w:vAlign w:val="bottom"/>
          </w:tcPr>
          <w:p>
            <w:pPr>
              <w:pStyle w:val="TableContents"/>
              <w:bidi w:val="0"/>
              <w:spacing w:before="0" w:after="283"/>
              <w:jc w:val="center"/>
              <w:rPr/>
            </w:pPr>
            <w:r>
              <w:rPr/>
              <w:t>6.10%</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Capital(6)</w:t>
            </w:r>
          </w:p>
        </w:tc>
        <w:tc>
          <w:tcPr>
            <w:tcW w:w="12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4217" w:type="dxa"/>
            <w:tcBorders/>
            <w:shd w:fill="CCEEFF" w:val="clear"/>
            <w:vAlign w:val="bottom"/>
          </w:tcPr>
          <w:p>
            <w:pPr>
              <w:pStyle w:val="TableContents"/>
              <w:bidi w:val="0"/>
              <w:spacing w:before="0" w:after="283"/>
              <w:jc w:val="center"/>
              <w:rPr/>
            </w:pPr>
            <w:r>
              <w:rPr/>
              <w:t>2,687,914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4660" w:type="dxa"/>
            <w:tcBorders/>
            <w:shd w:fill="CCEEFF" w:val="clear"/>
            <w:vAlign w:val="bottom"/>
          </w:tcPr>
          <w:p>
            <w:pPr>
              <w:pStyle w:val="TableContents"/>
              <w:bidi w:val="0"/>
              <w:spacing w:before="0" w:after="283"/>
              <w:jc w:val="center"/>
              <w:rPr/>
            </w:pPr>
            <w:r>
              <w:rPr/>
              <w:t>5.90%</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4217" w:type="dxa"/>
            <w:tcBorders/>
            <w:vAlign w:val="bottom"/>
          </w:tcPr>
          <w:p>
            <w:pPr>
              <w:pStyle w:val="TableContents"/>
              <w:bidi w:val="0"/>
              <w:spacing w:before="0" w:after="283"/>
              <w:jc w:val="center"/>
              <w:rPr/>
            </w:pPr>
            <w:r>
              <w:rPr/>
              <w:t>2,344,819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4660" w:type="dxa"/>
            <w:tcBorders/>
            <w:vAlign w:val="bottom"/>
          </w:tcPr>
          <w:p>
            <w:pPr>
              <w:pStyle w:val="TableContents"/>
              <w:bidi w:val="0"/>
              <w:spacing w:before="0" w:after="283"/>
              <w:jc w:val="center"/>
              <w:rPr/>
            </w:pPr>
            <w:r>
              <w:rPr/>
              <w:t>5.15%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3500" w:type="dxa"/>
        <w:jc w:val="center"/>
        <w:tblInd w:w="0" w:type="dxa"/>
        <w:tblLayout w:type="fixed"/>
        <w:tblCellMar>
          <w:top w:w="0" w:type="dxa"/>
          <w:left w:w="0" w:type="dxa"/>
          <w:bottom w:w="0" w:type="dxa"/>
          <w:right w:w="0" w:type="dxa"/>
        </w:tblCellMar>
      </w:tblPr>
      <w:tblGrid>
        <w:gridCol w:w="3755"/>
        <w:gridCol w:w="120"/>
        <w:gridCol w:w="4475"/>
        <w:gridCol w:w="120"/>
        <w:gridCol w:w="503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bottom"/>
          </w:tcPr>
          <w:p>
            <w:pPr>
              <w:pStyle w:val="TableContents"/>
              <w:bidi w:val="0"/>
              <w:spacing w:before="0" w:after="283"/>
              <w:jc w:val="left"/>
              <w:rPr>
                <w:b/>
              </w:rPr>
            </w:pPr>
            <w:r>
              <w:rPr>
                <w:b/>
              </w:rPr>
              <w:t>NAME OF BENEFICIAL OWNER</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b/>
              </w:rPr>
            </w:pPr>
            <w:r>
              <w:rPr>
                <w:b/>
              </w:rPr>
              <w:t>NUMBER OF SHARES BENEFICIALLY</w:t>
              <w:br/>
              <w:t>OWNED</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b/>
              </w:rPr>
            </w:pPr>
            <w:r>
              <w:rPr>
                <w:b/>
              </w:rPr>
              <w:t>PERCENTAGE OF SHARES OUTSTANDING</w:t>
              <w:br/>
              <w:t>BENEFICIALLY OWNED</w:t>
            </w:r>
          </w:p>
        </w:tc>
      </w:tr>
      <w:tr>
        <w:trPr/>
        <w:tc>
          <w:tcPr>
            <w:tcW w:w="3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left"/>
              <w:rPr>
                <w:sz w:val="4"/>
                <w:szCs w:val="4"/>
              </w:rPr>
            </w:pPr>
            <w:r>
              <w:rPr>
                <w:sz w:val="4"/>
                <w:szCs w:val="4"/>
              </w:rPr>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Andrew Gottesdiener, M.D.</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Heidi Henson(8)</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center"/>
              <w:rPr/>
            </w:pPr>
            <w:r>
              <w:rPr/>
              <w:t>11,221</w:t>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center"/>
              <w:rPr/>
            </w:pPr>
            <w:r>
              <w:rPr/>
              <w:t>*</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9,103,729</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19.99%</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Michelle Pernice(9)</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center"/>
              <w:rPr/>
            </w:pPr>
            <w:r>
              <w:rPr/>
              <w:t>13,802</w:t>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center"/>
              <w:rPr/>
            </w:pPr>
            <w:r>
              <w:rPr/>
              <w:t>*</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Jonathan Violin, Ph.D.(10)</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578,653</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1.26%</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center"/>
              <w:rPr/>
            </w:pPr>
            <w:r>
              <w:rPr/>
              <w:t>— </w:t>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center"/>
              <w:rPr/>
            </w:pPr>
            <w:r>
              <w:rPr/>
              <w:t>*</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4,549,585</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9.99%</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Matthew Leoni, M.D.</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center"/>
              <w:rPr/>
            </w:pPr>
            <w:r>
              <w:rPr/>
              <w:t>— </w:t>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center"/>
              <w:rPr/>
            </w:pPr>
            <w:r>
              <w:rPr/>
              <w:t>*</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persons)(11)</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14,256,990</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31.04%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a Schedule 13D filed by Fairmount Funds Management LLC on September 11, 2026. Consists of (i) 6,911,174 shares of the Company’s common stock held directly by Fairmount Healthcare Fund II, L.P. (“Fairmount Fund II”) and (ii) 2,192,555 shares of the Company’s common stock held directly by Fairmount Healthcare Co-Invest VI L.P. (“Co-Invest”). Excludes (i) 66,436 shares of the Company’s common stock issuable upon the exercise of pre-funded warrants held by Fairmount Fund II and (ii) 2,074,000 shares of the Company’s common stock issuable upon the conversion of 2,074 shares of the Company’s Series B Preferred Stock held by Fairmount Fund II. The pre-funded warrants are subject to a beneficial ownership limitation of 19.99% and the shares of the Company’s Series B Preferred Stock are subject to a beneficial ownership limitation of 19.99%, which such limitations restrict Fairmount Funds Management LLC (“Fairmount”) and its affiliates from exercising that portion of the warrants and converting those shares of preferred stock that would result in Fairmount and its affiliates owning, after exercise or conversion, a number of shares of the Company’s common stock in excess of the applicable ownership limitation. At such time as Fairmount and its affiliates beneficially own 9.0% or less of the shares of common stock, the beneficial ownership limitation applicable to the shares of the Company’s Series B Preferred Stock will automatically reduce to 9.99%. Fairmount serves as investment manager for Fairmount Fund II and Co-Invest. Each of Fairmount Fund II and Co-Invest has delegated to Fairmount the sole power to vote and the sole power to dispose of all securities held in its portfolio. Because each of Fairmount Fund II and Co-Invest has divested itself of voting and investment power over the securities it holds and may not revoke that delegation on less than 61 days’ notice, each of Fairmount Fund II and Co-Invest disclaims beneficial ownership of the securities it holds. As managers of Fairmount, Peter Harwin and Tomas Kiselak may be deemed to have voting and investment power over the shares held by Fairmount Fund II and Co-Invest. Fairmount, Peter Harwin and Tomas Kiselak disclaim beneficial ownership of such shares, except to the extent of any pecuniary interest therein. The address of the entities and individuals listed is 200 Barr Harbor Drive, Suite 400, West Conshohocken, PA 19428.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a Schedule 13D filed by Venrock Healthcare Capital Partners III, L.P. (“VHCP III”) on September 15, 2026. Consists of (i) 2,024,520 shares of the Company’s common stock held by Venrock Healthcare Capital Partners EG, L.P. (“VHCP EG”), (ii) 1,001,091 shares of the Company’s common stock held by Venrock Healthcare Capital Partners XP, L.P. (“VHCP XP”), (iii) 1,385,432 shares of the Company’s common stock held by VHCP III and (iv) 138,542 shares of the Company’s common stock held by VHCP Co-Investment Holdings III, LLC (“VHCP Co-III”). Excludes an aggregate of 3,305,044 shares of the Company’s common stock issuable upon the exercise of pre-funded warrants, comprised of (i) 1,470,712 shares held by VHCP EG, (ii) 727,242 shares held by VHCP XP, (iii) 1,006,446 shares held by VHCP III and (iv) 100,644 shares held by VHCP Co-III. Excludes an aggregate of 1,908,000 shares of the Company’s common stock issuable upon the conversion of 1,908 shares of the Company’s Series B Preferred Stock, comprised of (i) 935 shares held by VHCP EG, (ii) 830 shares held by VHCP XP, (iii) 130 shares held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by VHCP III and (iv) 13 shares held by VHCP Co-III. VHCP Management EG, LLC (“VHCPM EG”) is the sole general partner of VHCP EG. VHCP Management III, LLC (“VHCPM III”) is the sole general partner of VHCP III and the sole manager of VHCP Co-III. VHCP Management XP, LLC (“VHCPM XP”) is the sole general partner of VHCP XP. Dr. Bong Koh and Nimish Shah are the voting members of VHCPM III, VHCPM EG and VHCPM XP. The principal business address of each of the foregoing persons is 7 Bryant Park, 23rd Floor, New York, New York 10018.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4,549,587 shares of the Company’s common stock held by TCG Crossover Fund II, L.P. (“TCGX”). Excludes 155,478 shares of the Company’s common stock issuable upon the exercise of pre-funded warrants. The pre-funded warrants are subject to a beneficial ownership limitation of 9.99%, which such limitation restricts TCGX and its affiliates from exercising that portion of the warrants that would result in TCGX and its affiliates owning, after exercise, a number of shares of the Company’s common stock in excess of the ownership limitation.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and Abigail P. Johnson each have sole dispositive power over the shares reported herein; neither has sole voting power over such shares. The address of FMR LLC is 245 Summer Street, Boston, Massachusetts 02110.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a Schedule 13G filed by Wellington Biomedical Innovation Master Investors (Cayman) II, L.P. (“Wellington Biomedical Fund”) on September 16, 2026. Consists of 2,775,788 shares of the Company’s common stock held by Wellington Biomedical Fund. Wellington Management Company LLP, a registered investment adviser under the Investment Advisers Act of 1940, as amended (“WMC”), is the investment advisor to Wellington Biomedical Fund. Wellington Biomedical Innovation II GP L.P. is the general partner of Wellington Biomedical Fund. WMC is an indirect subsidiary of Wellington Management Group LLP. Wellington Management Group LLP and WMC may be deemed beneficial owners with shared voting and investment power over the shares held by Wellington Biomedical Fund. Additional information about WMC is available in its Form ADV filed with the SEC. The address of all entities referenced in this footnote is 280 Congress Street, Boston, MA 02210.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2,292,792 shares of the Company’s common stock held by 270 Life Sciences Private Capital Master Fund I SCA-RAIF, (ii) 333,301 shares of the Company’s common stock held by 270 Life Sciences Private Capital Employee Fund I LP and (iii) 61,821 shares of the Company’s common stock held by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1,659,297 shares of the Company’s common stock held by Janus Henderson Biotech Innovation Master Fund Limited and (ii) 685,522 shares of the Company’s common stock held by Janus Henderson Biotech Innovation Master Fund II Limited (together,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5,610 shares of common stock and (b) options to acquire 5,611 shares of common stock that will vest within 60 days of October 15,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13,202 shares of common stock and (b) options to acquire 600 shares of common stock that will vest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207,400 shares of restricted common stock, (b) vested options to acquire 327,576 shares of common stock and (c) options to acquire 43,677 shares of common stock that will vest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9 and 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6079_17"/>
      <w:bookmarkEnd w:id="15"/>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adopted a procedure called “householding,” which the SEC has approved. Under this procedure, the Company delivers a single copy of the proxy materials to multiple shareholders who share the same address, unless the Company has received contrary instructions from one or more of such shareholders. This procedure reduces the Company’s printing costs, mailing costs and fees. Shareholders who participate in householding will continue to be able to access and receive separate proxy cards. Upon written or oral request, the Company will deliver promptly a separate copy of the proxy materials to any shareholder at a shared address to which the Company delivered a single copy of any of these materials. This request may be submitted by contacting Korsana Biosciences, Inc., 203 Crescent Street, Bldgs. #3/3A/4, Suite 503, Waltham, MA 02453, Attention: Corporate Secretary, or by telephone at (781) 516-2325. The Company will deliver those documents to such shareholder promptly upon receiving the request. Any such shareholder may also contact the Company’s corporate secretary using the above contact information if he or she would like to receive separate proxy materials in the future. If you are receiving multiple copies of the Company’s proxy materials, you may request householding in the future by contacting the Company’s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 number of brokers with account holders who are shareholders of the Company may also household the Company’s proxy materials. If you hold your shares in street name and would like to change your householding election, please contact your broker, bank or other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36079_18"/>
      <w:bookmarkEnd w:id="16"/>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Under the Company’s bylaws, only the business set forth in the accompanying Notice of Special Meeting may be conducted at the Special Meeting. As of the date of this proxy statement, the Board does not know of any business to be presented at the Special Meeting other than as set forth in the accompanying Notice of Special Meeting. If any other matters incident to the conduct of the Special Meeting should properly come before the Special Meeting, or any adjournment or postponement thereof, it is intended that the shares represented by properly authorized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6079_19"/>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annual, quarterly and current reports, proxy statements and other information with the SEC. The Company’s SEC filings are available to the public free of charge at the website maintained by the SEC at www.sec.gov. You may also read and copy any document the Company files with the SEC on the Company’s website at https://investors.korsana.com. Information contained on, or accessible through, the SEC’s website or the Company’s website, and the reports described above, is not incorporated by reference into, and does not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 the information contained in this document to vote your shares at the Special Meeting. The Company has not authorized anyone to provide you with information that is different from what is contained in this document. This document is dated October 15, 2026. You should not assume that the information contained in this document is accurate as of any date other than that date, and the mailing of this document to shareholders at any time after that date does not create an implication to the contrary. This proxy statement does not constitute a solicitation of a proxy in any jurisdiction where, or to or from any person to whom, it is unlawful to make such proxy solicitations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without charge to each person to whom a copy of this proxy statement is delivered, upon the written or oral request of any such person, additional copies of this proxy statement. Requests for such copies should be addressed to: Korsana Biosciences, Inc., 203 Crescent Street, Bldgs. #3/3A/4, Suite 503, Waltham, MA 02453, Attention: Corporate Secretary, telephone: (781) 516-2325. </w:t>
      </w:r>
    </w:p>
    <w:p>
      <w:pPr>
        <w:pStyle w:val="TextBody"/>
        <w:bidi w:val="0"/>
        <w:spacing w:before="240" w:after="0"/>
        <w:jc w:val="left"/>
        <w:rPr>
          <w:rFonts w:ascii="Times New Roman" w:hAnsi="Times New Roman"/>
          <w:sz w:val="20"/>
        </w:rPr>
      </w:pPr>
      <w:r>
        <w:rPr>
          <w:rFonts w:ascii="Times New Roman" w:hAnsi="Times New Roman"/>
          <w:sz w:val="20"/>
        </w:rPr>
        <w:t xml:space="preserve">If you have questions about the Special Meeting or voting, or if you need additional copies of this proxy statement or the proxy card, please contact the Company’s proxy solicitor: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825-8793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6079_20"/>
      <w:bookmarkEnd w:id="18"/>
      <w:r>
        <w:rPr>
          <w:rFonts w:ascii="Times New Roman" w:hAnsi="Times New Roman"/>
          <w:b/>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PLAN OF 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This Plan of Domestication (this “Plan”) is adopted as of [●], 2026 and sets forth certain terms of the domestication of Korsana Biosciences, Inc., a Massachusetts corporation (the “Massachusetts Corporation”), to a Cayman Islands exempted company (the “Cayman Company”), pursuant to the terms of the Massachusetts Business Corporation Act (as amended, the “MBCA”) and Part XII of the Companies Act (As Revised) of the Cayman Islands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RECITALS: </w:t>
      </w:r>
    </w:p>
    <w:p>
      <w:pPr>
        <w:pStyle w:val="TextBody"/>
        <w:bidi w:val="0"/>
        <w:spacing w:before="120" w:after="0"/>
        <w:jc w:val="left"/>
        <w:rPr>
          <w:rFonts w:ascii="Times New Roman" w:hAnsi="Times New Roman"/>
          <w:sz w:val="20"/>
        </w:rPr>
      </w:pPr>
      <w:r>
        <w:rPr>
          <w:rFonts w:ascii="Times New Roman" w:hAnsi="Times New Roman"/>
          <w:sz w:val="20"/>
        </w:rPr>
        <w:t xml:space="preserve">A. The Massachusetts Corporation was incorporated in the Commonwealth of Massachusetts on September 6, 2018 under the name Cyclerion Therapeutics, Inc. and changed its name to Korsana Biosciences, Inc. on 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B. Upon the terms and subject to the conditions set forth in this Plan, and in accordance with Section 9.20 of the MBCA and Part XII of the Companies Act, the Massachusetts Corporation will be domesticated to a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C. The Board of Directors of the Massachusetts Corporation (the “Board”) has unanimously (i) determined that the Domestication (as defined below) is advisable and in the best interests of the Massachusetts Corporation and its shareholders and recommended the approval of the Domestication by the shareholders of the Massachusetts Corporation and (ii) approved and adopted this Plan, the Domestication and the other documents and transactions contemplated by this Plan, including the Cayman Articles, the Cayman Series A Certificate of Designation, the Cayman Series B Certificate of Designation, and the Articles of Charter Surrender (as each is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D. The shareholders of the Massachusetts Corporation have approved and adopted this Plan, the Domestication and the other documents and transactions contemplated by this Plan, including the Cayman Articles, the Cayman Series A Certificate of Designation, the Cayman Series B Certificate of Designation, and the Articles of Charter Surrender.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the Domestication, on the Effective Date (as defined below), each share of Common Stock, no par value (the “Massachusetts Common Stock”), Series A Convertible Preferred Stock, no par value (the “Massachusetts Series A Preferred Stock”), and Series B Non-Voting Convertible Preferred Stock, no par value (the “Massachusetts Series B Preferred Stock”), of the Massachusetts Corporation issued and outstanding (or held in treasury) immediately prior to the Effective Date shall be converted into one Ordinary Share, par value $0.0001 per share (the “Cayman Ordinary Shares”), one Series A Non-Voting Convertible Preferred Share, par value $0.0001 per share (the “Cayman Series A Preferred Shares”), and one Series B Non-Voting Convertible Preferred Share, par value $0.0001 per share (the “Cayman Series B Preferred Shares”), respectively, of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F. The mode of carrying out the Domestication into effect shall be as described in this Plan. </w:t>
      </w:r>
    </w:p>
    <w:p>
      <w:pPr>
        <w:pStyle w:val="TextBody"/>
        <w:bidi w:val="0"/>
        <w:spacing w:before="360" w:after="0"/>
        <w:jc w:val="left"/>
        <w:rPr>
          <w:rFonts w:ascii="Times New Roman" w:hAnsi="Times New Roman"/>
          <w:i/>
          <w:sz w:val="20"/>
        </w:rPr>
      </w:pPr>
      <w:r>
        <w:rPr>
          <w:rFonts w:ascii="Times New Roman" w:hAnsi="Times New Roman"/>
          <w:i/>
          <w:sz w:val="20"/>
        </w:rPr>
        <w:t xml:space="preserve">ARTICLE I. 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1.1 Domestication. On the Effective Date, the Massachusetts Corporation will be domesticated to the Cayman Company by way of continuation of the Company from a corporation organized under the laws of the Commonwealth of Massachusetts to an exempted company incorporated under the laws of the Cayman Islands, pursuant to, and in accordance with, Section 9.20 of the MBCA and Part XII of the Companies Act (the “Domestication”). The Board and the shareholders of the Massachusetts Corporation have approved and adopted this Plan, the Domestication and the other documents and transactions contemplated by this Plan, including the Cayman Articles, the Cayman Series A Certificate of Designation, the Cayman Series B Certificate of Designation and the Articles of Charter Surrender.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Articles of Charter Surrender. The Massachusetts Corporation shall file articles of charter surrender in the form attached hereto as Exhibit A (the “Articles of Charter Surrender”) with the Secretary of the Commonwealth of Massachusetts (the “Secretary of the Commonwealth”) and shall file the memorandum and articles of association in the form attached hereto as Exhibit B (the “Cayman Articles”) and any and all documents required to be filed with the Cayman Islands Registrar of Companies in connection with the Domestication and the Massachusetts Corporation or the Cayman Company, as applicable, shall make all other filings or recordings required by the MBCA or the Companies Act in connection with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1.3 Effective Date. The Domestication will become effective upon the filing of the Articles of Charter Surrender with the Secretary of the Commonwealth and the issuance of a certificate of continuation by the Cayman Islands Registrar of Companies (the “Cayman Certificate of Continuation”) or at such later date and/or time as specified in the Articles of Charter Surrender and the Cayman Certificate of Continuation (the “Effective Date”). </w:t>
      </w:r>
    </w:p>
    <w:p>
      <w:pPr>
        <w:pStyle w:val="TextBody"/>
        <w:bidi w:val="0"/>
        <w:spacing w:before="360" w:after="0"/>
        <w:jc w:val="left"/>
        <w:rPr>
          <w:rFonts w:ascii="Times New Roman" w:hAnsi="Times New Roman"/>
          <w:i/>
          <w:sz w:val="20"/>
        </w:rPr>
      </w:pPr>
      <w:r>
        <w:rPr>
          <w:rFonts w:ascii="Times New Roman" w:hAnsi="Times New Roman"/>
          <w:i/>
          <w:sz w:val="20"/>
        </w:rPr>
        <w:t xml:space="preserve">ARTICLE II. ORGANIZATION </w:t>
      </w:r>
    </w:p>
    <w:p>
      <w:pPr>
        <w:pStyle w:val="TextBody"/>
        <w:bidi w:val="0"/>
        <w:spacing w:before="120" w:after="0"/>
        <w:jc w:val="left"/>
        <w:rPr>
          <w:rFonts w:ascii="Times New Roman" w:hAnsi="Times New Roman"/>
          <w:sz w:val="20"/>
        </w:rPr>
      </w:pPr>
      <w:r>
        <w:rPr>
          <w:rFonts w:ascii="Times New Roman" w:hAnsi="Times New Roman"/>
          <w:sz w:val="20"/>
        </w:rPr>
        <w:t xml:space="preserve">2.1 Cayman Governing Documents. On the Effective Date, the Cayman Articles, including the Certificate of Designation of Series A Non-Voting Convertible Preferred Shares attached hereto as Exhibit C (the “Cayman Series A Certificate of Designation”), the Certificate of Designation of Series B Non-Voting Convertible Preferred Shares attached hereto as Exhibit D (the “Cayman Series B Certificate of Designation,” and together with the Cayman Articles and the Cayman Series A Certificate of Designation, the “Cayman Governing Documents”), shall govern the Cayman Company until amended and/or restated in accordance with the Cayman Governing Documents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2.2 Directors and Officers. From and after the Effective Date, by virtue of the Domestication and without any further action on the part of the Massachusetts Corporation or its shareholders, the members of the Board and the officers of the Massachusetts Corporation holding their respective offices in the Massachusetts Corporation existing immediately prior to the Effective Date shall continue in their respective offices as members of the Board and officers of the Cayman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ARTICLE III. EFFECT OF 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3.1 Effect of Domestication. On the Effective Date, the effect of the Domestication will be as provided by this Plan and by the applicable provisions of the MBCA and the Companies Act. Without limitation of the foregoing, for all purposes of the laws of the Commonwealth of Massachusetts and the Cayman Islands, the Cayman Company will continue as a body corporate for all purposes, as if incorporated and registered as an exempted company under and subject to the Companies Act and all of the rights, privileges, and powers of the Massachusetts Corporation, and all property, real, personal, and mixed, and all debts due to the Massachusetts Corporation, as well as all other things and causes of action belonging to the Massachusetts Corporation, shall remain vested in the Cayman Company and shall be the property of the Cayman Company, and all debts, liabilities, and duties of the Massachusetts Corporation shall remain attached to the Cayman Company, and may be enforced against the Cayman Company to the same extent as if said debts, liabilities, and duties had originally been incurred or contracted by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3.2 Domestication of Shares. On the Effective Date, by virtue of the Domestication and without any further action by the Massachusetts Corporation or the shareholders, (i) each share of Massachusetts Common Stock issued and outstanding immediately before the Effective Date shall be converted into one Cayman Ordinary Share, and all options, warrants or other entitlement to receive a share of Massachusetts Common Stock shall automatically be converted into an option, warrant or other entitlement to receive a Cayman Ordinary Share, (ii) each share of Massachusetts Series A Preferred Stock issued and outstanding immediately before the Effective Date shall be converted into one Cayman Series A Preferred Share, and all options, warrants or other entitlement to receive a share of Massachusetts Series A Preferred Stock shall automatically be converted into an option, warrant or other entitlement to receive a Cayman Series A Preferred Share, and (iii) each share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Massachusetts Series B Preferred Stock issued and outstanding immediately before the Effective Date shall be converted into one Cayman Series B Preferred Share, and all options, warrants or other entitlement to receive a share of Massachusetts Series B Preferred Stock shall automatically be converted into an option, warrant or other entitlement to receive a Cayman Series B Preferred Share. </w:t>
      </w:r>
    </w:p>
    <w:p>
      <w:pPr>
        <w:pStyle w:val="TextBody"/>
        <w:bidi w:val="0"/>
        <w:spacing w:before="360" w:after="0"/>
        <w:jc w:val="left"/>
        <w:rPr>
          <w:rFonts w:ascii="Times New Roman" w:hAnsi="Times New Roman"/>
          <w:i/>
          <w:sz w:val="20"/>
        </w:rPr>
      </w:pPr>
      <w:r>
        <w:rPr>
          <w:rFonts w:ascii="Times New Roman" w:hAnsi="Times New Roman"/>
          <w:i/>
          <w:sz w:val="20"/>
        </w:rPr>
        <w:t xml:space="preserve">ARTICLE IV. MISCELLANEOUS </w:t>
      </w:r>
    </w:p>
    <w:p>
      <w:pPr>
        <w:pStyle w:val="TextBody"/>
        <w:bidi w:val="0"/>
        <w:spacing w:before="120" w:after="0"/>
        <w:jc w:val="left"/>
        <w:rPr>
          <w:rFonts w:ascii="Times New Roman" w:hAnsi="Times New Roman"/>
          <w:sz w:val="20"/>
        </w:rPr>
      </w:pPr>
      <w:r>
        <w:rPr>
          <w:rFonts w:ascii="Times New Roman" w:hAnsi="Times New Roman"/>
          <w:sz w:val="20"/>
        </w:rPr>
        <w:t xml:space="preserve">4.1 Abandonment or Amendment. At any time prior to the filing of the Articles of Charter Surrender with the Secretary of the Commonwealth, the Massachusetts Corporation may abandon the proposed Domestication and terminate this Plan to the extent permitted by law or may amend this Plan. </w:t>
      </w:r>
    </w:p>
    <w:p>
      <w:pPr>
        <w:pStyle w:val="TextBody"/>
        <w:bidi w:val="0"/>
        <w:spacing w:before="240" w:after="0"/>
        <w:jc w:val="left"/>
        <w:rPr>
          <w:rFonts w:ascii="Times New Roman" w:hAnsi="Times New Roman"/>
          <w:sz w:val="20"/>
        </w:rPr>
      </w:pPr>
      <w:r>
        <w:rPr>
          <w:rFonts w:ascii="Times New Roman" w:hAnsi="Times New Roman"/>
          <w:sz w:val="20"/>
        </w:rPr>
        <w:t xml:space="preserve">4.2 Captions. The captions in this Plan are for convenience only and shall not be considered a part, or to affect the construction or interpretation, of any provision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4.3 Tax Reporting. The Domestication is intended to be a “reorganization” for purposes of Section 368(a) of the Internal Revenue Code of 1986, as amended (the “Code”), and this Plan of Domestication is hereby adopted as a “plan of reorganization” for purposes of Section 368(a)(1)(F) of the Code. </w:t>
      </w:r>
    </w:p>
    <w:p>
      <w:pPr>
        <w:pStyle w:val="TextBody"/>
        <w:bidi w:val="0"/>
        <w:spacing w:before="240" w:after="0"/>
        <w:jc w:val="left"/>
        <w:rPr>
          <w:rFonts w:ascii="Times New Roman" w:hAnsi="Times New Roman"/>
          <w:sz w:val="20"/>
        </w:rPr>
      </w:pPr>
      <w:r>
        <w:rPr>
          <w:rFonts w:ascii="Times New Roman" w:hAnsi="Times New Roman"/>
          <w:sz w:val="20"/>
        </w:rPr>
        <w:t xml:space="preserve">4.4 Governing Law. This Plan shall be governed by, and construed and interpreted in accordance with, the laws of the Commonwealth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Plan has been executed on behalf of the Massachusetts Corporation by its officers thereunto duly authorized, all as of the date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By: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Title: </w:t>
      </w:r>
    </w:p>
    <w:p>
      <w:pPr>
        <w:pStyle w:val="TextBody"/>
        <w:bidi w:val="0"/>
        <w:spacing w:before="360" w:after="0"/>
        <w:jc w:val="left"/>
        <w:rPr>
          <w:rFonts w:ascii="Times New Roman" w:hAnsi="Times New Roman"/>
          <w:i/>
          <w:sz w:val="20"/>
        </w:rPr>
      </w:pPr>
      <w:r>
        <w:rPr>
          <w:rFonts w:ascii="Times New Roman" w:hAnsi="Times New Roman"/>
          <w:i/>
          <w:sz w:val="20"/>
        </w:rPr>
        <w:t xml:space="preserve">EXHIBIT A </w:t>
      </w:r>
    </w:p>
    <w:p>
      <w:pPr>
        <w:pStyle w:val="TextBody"/>
        <w:bidi w:val="0"/>
        <w:spacing w:before="0" w:after="0"/>
        <w:jc w:val="left"/>
        <w:rPr>
          <w:rFonts w:ascii="Times New Roman" w:hAnsi="Times New Roman"/>
          <w:sz w:val="20"/>
        </w:rPr>
      </w:pPr>
      <w:r>
        <w:rPr>
          <w:rFonts w:ascii="Times New Roman" w:hAnsi="Times New Roman"/>
          <w:sz w:val="20"/>
        </w:rPr>
        <w:t xml:space="preserve">MASSACHUSETTS ARTICLES OF CHARTER SURRENDER </w:t>
      </w:r>
    </w:p>
    <w:p>
      <w:pPr>
        <w:pStyle w:val="TextBody"/>
        <w:bidi w:val="0"/>
        <w:spacing w:before="120" w:after="0"/>
        <w:jc w:val="left"/>
        <w:rPr>
          <w:rFonts w:ascii="Times New Roman" w:hAnsi="Times New Roman"/>
          <w:sz w:val="20"/>
        </w:rPr>
      </w:pPr>
      <w:r>
        <w:rPr>
          <w:rFonts w:ascii="Times New Roman" w:hAnsi="Times New Roman"/>
          <w:sz w:val="20"/>
        </w:rPr>
        <w:t xml:space="preserve">[To be attached.] </w:t>
      </w:r>
    </w:p>
    <w:p>
      <w:pPr>
        <w:pStyle w:val="TextBody"/>
        <w:bidi w:val="0"/>
        <w:spacing w:before="360" w:after="0"/>
        <w:jc w:val="left"/>
        <w:rPr>
          <w:rFonts w:ascii="Times New Roman" w:hAnsi="Times New Roman"/>
          <w:i/>
          <w:sz w:val="20"/>
        </w:rPr>
      </w:pPr>
      <w:r>
        <w:rPr>
          <w:rFonts w:ascii="Times New Roman" w:hAnsi="Times New Roman"/>
          <w:i/>
          <w:sz w:val="20"/>
        </w:rPr>
        <w:t xml:space="preserve">EXHIBIT B </w:t>
      </w:r>
    </w:p>
    <w:p>
      <w:pPr>
        <w:pStyle w:val="TextBody"/>
        <w:bidi w:val="0"/>
        <w:spacing w:before="0" w:after="0"/>
        <w:jc w:val="left"/>
        <w:rPr>
          <w:rFonts w:ascii="Times New Roman" w:hAnsi="Times New Roman"/>
          <w:sz w:val="20"/>
        </w:rPr>
      </w:pPr>
      <w:r>
        <w:rPr>
          <w:rFonts w:ascii="Times New Roman" w:hAnsi="Times New Roman"/>
          <w:sz w:val="20"/>
        </w:rPr>
        <w:t xml:space="preserve">CAYMAN ISLANDS 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[To be attached. See Annex B to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EXHIBIT C </w:t>
      </w:r>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OF SERIES A NON-VOTING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[To be attached. See Annex C to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EXHIBIT D </w:t>
      </w:r>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OF SERIES B NON-VOTING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[To be attached. See Annex D 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6079_21"/>
      <w:bookmarkEnd w:id="19"/>
      <w:r>
        <w:rPr>
          <w:rFonts w:ascii="Times New Roman" w:hAnsi="Times New Roman"/>
          <w:b/>
          <w:sz w:val="20"/>
        </w:rPr>
        <w:t xml:space="preserve">ANNEX B </w:t>
      </w:r>
    </w:p>
    <w:p>
      <w:pPr>
        <w:pStyle w:val="TextBody"/>
        <w:bidi w:val="0"/>
        <w:spacing w:before="240" w:after="0"/>
        <w:jc w:val="left"/>
        <w:rPr>
          <w:rFonts w:ascii="Times New Roman" w:hAnsi="Times New Roman"/>
          <w:b/>
          <w:sz w:val="20"/>
        </w:rPr>
      </w:pPr>
      <w:r>
        <w:rPr>
          <w:rFonts w:ascii="Times New Roman" w:hAnsi="Times New Roman"/>
          <w:b/>
          <w:sz w:val="20"/>
        </w:rPr>
        <w:t xml:space="preserve">FORM OF MEMORANDUM AND ARTICLES OF ASSOCIATION OF KORSANA BIOSCIENCES, INC. (AS A CAYMAN ISLANDS EXEMPTED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12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12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center"/>
        <w:rPr/>
      </w:pPr>
      <w:r>
        <w:rPr/>
        <w:drawing>
          <wp:inline distT="0" distB="0" distL="0" distR="0">
            <wp:extent cx="2719070" cy="8750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name of the company is Korsana Biosciences, Inc.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office of the Company will be situated at the offices of Walkers Corporate Limited, 190 Elgin Avenue, George Town, Grand Cayman KY1-9008, Cayman Islands or at such other location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objects for which the Company is established are unrestricted and the Company shall have full power and authority to carry out any object not prohibited by any law as provided by Section 7(4) of the Companies Act (as amended) of the Cayman Islands (the “</w:t>
            </w:r>
            <w:r>
              <w:rPr>
                <w:rFonts w:ascii="Times New Roman" w:hAnsi="Times New Roman"/>
                <w:b/>
                <w:sz w:val="20"/>
              </w:rPr>
              <w:t>Companies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and be capable of exercising all the functions of a natural person of full capacity irrespective of any question of corporate benefit as provided by Section 27(2) of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liability of the shareholders of the Company is limited to the amount, if any, unpaid on the shares respectively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is </w:t>
            </w:r>
            <w:r>
              <w:rPr>
                <w:rFonts w:ascii="Times New Roman" w:hAnsi="Times New Roman"/>
                <w:b/>
                <w:sz w:val="20"/>
              </w:rPr>
              <w:t xml:space="preserve">US$80,000 </w:t>
            </w:r>
            <w:r>
              <w:rPr>
                <w:rFonts w:ascii="Times New Roman" w:hAnsi="Times New Roman"/>
                <w:sz w:val="20"/>
              </w:rPr>
              <w:t xml:space="preserve">divided into </w:t>
            </w:r>
            <w:r>
              <w:rPr>
                <w:rFonts w:ascii="Times New Roman" w:hAnsi="Times New Roman"/>
                <w:b/>
                <w:sz w:val="20"/>
              </w:rPr>
              <w:t>700,000,000</w:t>
            </w:r>
            <w:r>
              <w:rPr>
                <w:rFonts w:ascii="Times New Roman" w:hAnsi="Times New Roman"/>
                <w:sz w:val="20"/>
              </w:rPr>
              <w:t xml:space="preserve"> </w:t>
            </w:r>
            <w:r>
              <w:rPr>
                <w:rFonts w:ascii="Times New Roman" w:hAnsi="Times New Roman"/>
                <w:b/>
                <w:sz w:val="20"/>
              </w:rPr>
              <w:t>ordinary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and </w:t>
            </w:r>
            <w:r>
              <w:rPr>
                <w:rFonts w:ascii="Times New Roman" w:hAnsi="Times New Roman"/>
                <w:b/>
                <w:sz w:val="20"/>
              </w:rPr>
              <w:t>100,000,000</w:t>
            </w:r>
            <w:r>
              <w:rPr>
                <w:rFonts w:ascii="Times New Roman" w:hAnsi="Times New Roman"/>
                <w:sz w:val="20"/>
              </w:rPr>
              <w:t xml:space="preserve"> </w:t>
            </w:r>
            <w:r>
              <w:rPr>
                <w:rFonts w:ascii="Times New Roman" w:hAnsi="Times New Roman"/>
                <w:b/>
                <w:sz w:val="20"/>
              </w:rPr>
              <w:t>preferred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provided always that subject to the Companies Act and the Articles of Association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exercise the power contained in Section 206 of the Companies Act to deregister in the Cayman Islands and be registered by way of continuation in some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8"/>
        </w:rPr>
      </w:pPr>
      <w:r>
        <w:rPr>
          <w:rFonts w:ascii="Times New Roman" w:hAnsi="Times New Roman"/>
          <w:b/>
          <w:sz w:val="48"/>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left"/>
        <w:rPr/>
      </w:pPr>
      <w:r>
        <w:rPr/>
        <w:t> </w:t>
      </w:r>
    </w:p>
    <w:p>
      <w:pPr>
        <w:pStyle w:val="TextBody"/>
        <w:bidi w:val="0"/>
        <w:spacing w:before="0" w:after="0"/>
        <w:jc w:val="center"/>
        <w:rPr/>
      </w:pPr>
      <w:r>
        <w:rPr/>
        <w:drawing>
          <wp:inline distT="0" distB="0" distL="0" distR="0">
            <wp:extent cx="2719070" cy="8750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01"/>
        <w:gridCol w:w="339"/>
        <w:gridCol w:w="94"/>
        <w:gridCol w:w="609"/>
        <w:gridCol w:w="62"/>
      </w:tblGrid>
      <w:tr>
        <w:trPr/>
        <w:tc>
          <w:tcPr>
            <w:tcW w:w="9101"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101" w:type="dxa"/>
            <w:tcBorders/>
            <w:vAlign w:val="bottom"/>
          </w:tcPr>
          <w:p>
            <w:pPr>
              <w:pStyle w:val="TableContents"/>
              <w:bidi w:val="0"/>
              <w:spacing w:before="0" w:after="283"/>
              <w:jc w:val="left"/>
              <w:rPr>
                <w:b/>
              </w:rPr>
            </w:pPr>
            <w:r>
              <w:rPr>
                <w:b/>
              </w:rPr>
              <w:t>CLAUSE</w:t>
            </w:r>
          </w:p>
        </w:tc>
        <w:tc>
          <w:tcPr>
            <w:tcW w:w="339"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36079_1">
              <w:r>
                <w:rPr>
                  <w:rStyle w:val="InternetLink"/>
                  <w:rFonts w:ascii="Times New Roman" w:hAnsi="Times New Roman"/>
                  <w:sz w:val="20"/>
                </w:rPr>
                <w:t>TABLE A</w:t>
              </w:r>
            </w:hyperlink>
          </w:p>
        </w:tc>
        <w:tc>
          <w:tcPr>
            <w:tcW w:w="3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B-5</w:t>
            </w:r>
          </w:p>
        </w:tc>
        <w:tc>
          <w:tcPr>
            <w:tcW w:w="62"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36079_2">
              <w:r>
                <w:rPr>
                  <w:rStyle w:val="InternetLink"/>
                  <w:rFonts w:ascii="Times New Roman" w:hAnsi="Times New Roman"/>
                  <w:sz w:val="20"/>
                </w:rPr>
                <w:t>INTERPRETATION</w:t>
              </w:r>
            </w:hyperlink>
          </w:p>
        </w:tc>
        <w:tc>
          <w:tcPr>
            <w:tcW w:w="3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B-5</w:t>
            </w:r>
          </w:p>
        </w:tc>
        <w:tc>
          <w:tcPr>
            <w:tcW w:w="62"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36079_3">
              <w:r>
                <w:rPr>
                  <w:rStyle w:val="InternetLink"/>
                  <w:rFonts w:ascii="Times New Roman" w:hAnsi="Times New Roman"/>
                  <w:sz w:val="20"/>
                </w:rPr>
                <w:t>PRELIMINARY</w:t>
              </w:r>
            </w:hyperlink>
          </w:p>
        </w:tc>
        <w:tc>
          <w:tcPr>
            <w:tcW w:w="3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B-8</w:t>
            </w:r>
          </w:p>
        </w:tc>
        <w:tc>
          <w:tcPr>
            <w:tcW w:w="62"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36079_4">
              <w:r>
                <w:rPr>
                  <w:rStyle w:val="InternetLink"/>
                  <w:rFonts w:ascii="Times New Roman" w:hAnsi="Times New Roman"/>
                  <w:sz w:val="20"/>
                </w:rPr>
                <w:t>SHAREHOLDER MEETINGS</w:t>
              </w:r>
            </w:hyperlink>
          </w:p>
        </w:tc>
        <w:tc>
          <w:tcPr>
            <w:tcW w:w="3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B-9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AND EFFECTIVE AS OF     ) </w:t>
      </w:r>
    </w:p>
    <w:p>
      <w:pPr>
        <w:pStyle w:val="TextBody"/>
        <w:bidi w:val="0"/>
        <w:spacing w:before="240" w:after="0"/>
        <w:jc w:val="center"/>
        <w:rPr>
          <w:rFonts w:ascii="Times New Roman" w:hAnsi="Times New Roman"/>
          <w:b/>
          <w:sz w:val="20"/>
        </w:rPr>
      </w:pPr>
      <w:bookmarkStart w:id="20" w:name="anxi36079_1"/>
      <w:bookmarkEnd w:id="20"/>
      <w:r>
        <w:rPr>
          <w:rFonts w:ascii="Times New Roman" w:hAnsi="Times New Roman"/>
          <w:b/>
          <w:sz w:val="20"/>
        </w:rPr>
        <w:t xml:space="preserve">TABLE A </w:t>
      </w:r>
    </w:p>
    <w:p>
      <w:pPr>
        <w:pStyle w:val="TextBody"/>
        <w:bidi w:val="0"/>
        <w:spacing w:before="120" w:after="0"/>
        <w:jc w:val="left"/>
        <w:rPr>
          <w:rFonts w:ascii="Times New Roman" w:hAnsi="Times New Roman"/>
          <w:sz w:val="20"/>
        </w:rPr>
      </w:pPr>
      <w:r>
        <w:rPr>
          <w:rFonts w:ascii="Times New Roman" w:hAnsi="Times New Roman"/>
          <w:sz w:val="20"/>
        </w:rPr>
        <w:t>The Regulations contained or incorporated in Table ‘A’ in the First Schedule of the Companies Act shall not apply to Korsana Biosciences, Inc. (the “</w:t>
      </w:r>
      <w:r>
        <w:rPr>
          <w:rFonts w:ascii="Times New Roman" w:hAnsi="Times New Roman"/>
          <w:b/>
          <w:sz w:val="20"/>
        </w:rPr>
        <w:t>Company</w:t>
      </w:r>
      <w:r>
        <w:rPr>
          <w:rFonts w:ascii="Times New Roman" w:hAnsi="Times New Roman"/>
          <w:sz w:val="20"/>
        </w:rPr>
        <w:t xml:space="preserve">”) and the following Articles shall comprise the Articles of Association of the Company. </w:t>
      </w:r>
    </w:p>
    <w:p>
      <w:pPr>
        <w:pStyle w:val="TextBody"/>
        <w:bidi w:val="0"/>
        <w:spacing w:before="480" w:after="0"/>
        <w:jc w:val="center"/>
        <w:rPr>
          <w:rFonts w:ascii="Times New Roman" w:hAnsi="Times New Roman"/>
          <w:b/>
          <w:sz w:val="20"/>
        </w:rPr>
      </w:pPr>
      <w:bookmarkStart w:id="21" w:name="anxi36079_2"/>
      <w:bookmarkEnd w:id="21"/>
      <w:r>
        <w:rPr>
          <w:rFonts w:ascii="Times New Roman" w:hAnsi="Times New Roman"/>
          <w:b/>
          <w:sz w:val="20"/>
        </w:rPr>
        <w:t xml:space="preserve">INTERPRETATION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the following defined terms will have the meanings ascribed to them, if not inconsistent with the subject or context: </w:t>
            </w:r>
          </w:p>
        </w:tc>
      </w:tr>
    </w:tbl>
    <w:p>
      <w:pPr>
        <w:pStyle w:val="TextBody"/>
        <w:bidi w:val="0"/>
        <w:spacing w:before="120" w:after="0"/>
        <w:jc w:val="left"/>
        <w:rPr/>
      </w:pPr>
      <w:r>
        <w:rPr/>
        <w:t>“</w:t>
      </w:r>
      <w:r>
        <w:rPr>
          <w:rFonts w:ascii="Times New Roman" w:hAnsi="Times New Roman"/>
          <w:b/>
          <w:sz w:val="20"/>
        </w:rPr>
        <w:t>Articles</w:t>
      </w:r>
      <w:r>
        <w:rPr>
          <w:rFonts w:ascii="Times New Roman" w:hAnsi="Times New Roman"/>
          <w:sz w:val="20"/>
        </w:rPr>
        <w:t xml:space="preserve">” means these articles of association of the Company, as amended or substituted from time to time. </w:t>
      </w:r>
    </w:p>
    <w:p>
      <w:pPr>
        <w:pStyle w:val="TextBody"/>
        <w:bidi w:val="0"/>
        <w:spacing w:before="120" w:after="0"/>
        <w:jc w:val="left"/>
        <w:rPr/>
      </w:pPr>
      <w:r>
        <w:rPr/>
        <w:t>“</w:t>
      </w:r>
      <w:r>
        <w:rPr>
          <w:rFonts w:ascii="Times New Roman" w:hAnsi="Times New Roman"/>
          <w:b/>
          <w:sz w:val="20"/>
        </w:rPr>
        <w:t xml:space="preserve">Attorney” </w:t>
      </w:r>
      <w:r>
        <w:rPr>
          <w:rFonts w:ascii="Times New Roman" w:hAnsi="Times New Roman"/>
          <w:sz w:val="20"/>
        </w:rPr>
        <w:t xml:space="preserve">has the meaning given to it in Article 65. </w:t>
      </w:r>
    </w:p>
    <w:p>
      <w:pPr>
        <w:pStyle w:val="TextBody"/>
        <w:bidi w:val="0"/>
        <w:spacing w:before="120" w:after="0"/>
        <w:jc w:val="left"/>
        <w:rPr/>
      </w:pPr>
      <w:r>
        <w:rPr/>
        <w:t>“</w:t>
      </w:r>
      <w:r>
        <w:rPr>
          <w:rFonts w:ascii="Times New Roman" w:hAnsi="Times New Roman"/>
          <w:b/>
          <w:sz w:val="20"/>
        </w:rPr>
        <w:t>Audit Committee</w:t>
      </w:r>
      <w:r>
        <w:rPr>
          <w:rFonts w:ascii="Times New Roman" w:hAnsi="Times New Roman"/>
          <w:sz w:val="20"/>
        </w:rPr>
        <w:t xml:space="preserve">” means the audit committee of the Company formed pursuant to Article 133 hereof, or any successor audit committee. </w:t>
      </w:r>
    </w:p>
    <w:p>
      <w:pPr>
        <w:pStyle w:val="TextBody"/>
        <w:bidi w:val="0"/>
        <w:spacing w:before="120" w:after="0"/>
        <w:jc w:val="left"/>
        <w:rPr/>
      </w:pPr>
      <w:r>
        <w:rPr/>
        <w:t>“</w:t>
      </w:r>
      <w:r>
        <w:rPr>
          <w:rFonts w:ascii="Times New Roman" w:hAnsi="Times New Roman"/>
          <w:b/>
          <w:sz w:val="20"/>
        </w:rPr>
        <w:t>Authorised Signatory</w:t>
      </w:r>
      <w:r>
        <w:rPr>
          <w:rFonts w:ascii="Times New Roman" w:hAnsi="Times New Roman"/>
          <w:sz w:val="20"/>
        </w:rPr>
        <w:t xml:space="preserve">” has the meaning given to it in Article 65. </w:t>
      </w:r>
    </w:p>
    <w:p>
      <w:pPr>
        <w:pStyle w:val="TextBody"/>
        <w:bidi w:val="0"/>
        <w:spacing w:before="120" w:after="0"/>
        <w:jc w:val="left"/>
        <w:rPr/>
      </w:pPr>
      <w:r>
        <w:rPr/>
        <w:t>“</w:t>
      </w:r>
      <w:r>
        <w:rPr>
          <w:rFonts w:ascii="Times New Roman" w:hAnsi="Times New Roman"/>
          <w:b/>
          <w:sz w:val="20"/>
        </w:rPr>
        <w:t>Branch Register</w:t>
      </w:r>
      <w:r>
        <w:rPr>
          <w:rFonts w:ascii="Times New Roman" w:hAnsi="Times New Roman"/>
          <w:sz w:val="20"/>
        </w:rPr>
        <w:t xml:space="preserve">” means any branch Register of such category or categories of Shareholders as the Company may from time to time determine. </w:t>
      </w:r>
    </w:p>
    <w:p>
      <w:pPr>
        <w:pStyle w:val="TextBody"/>
        <w:bidi w:val="0"/>
        <w:spacing w:before="12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 U.S. Federal Holiday or a day on which banking institutions or trust companies are authorised or obligated by law to close in the United States. </w:t>
      </w:r>
    </w:p>
    <w:p>
      <w:pPr>
        <w:pStyle w:val="TextBody"/>
        <w:bidi w:val="0"/>
        <w:spacing w:before="120" w:after="0"/>
        <w:jc w:val="left"/>
        <w:rPr/>
      </w:pPr>
      <w:r>
        <w:rPr/>
        <w:t>“</w:t>
      </w:r>
      <w:r>
        <w:rPr>
          <w:rFonts w:ascii="Times New Roman" w:hAnsi="Times New Roman"/>
          <w:b/>
          <w:sz w:val="20"/>
        </w:rPr>
        <w:t>Certificate of Designation</w:t>
      </w:r>
      <w:r>
        <w:rPr>
          <w:rFonts w:ascii="Times New Roman" w:hAnsi="Times New Roman"/>
          <w:sz w:val="20"/>
        </w:rPr>
        <w:t xml:space="preserve">” means a certificate of designation of preferences, rights and limitations with respect to any Class of Preferred Shares (as may be amended from time to time). </w:t>
      </w:r>
    </w:p>
    <w:p>
      <w:pPr>
        <w:pStyle w:val="TextBody"/>
        <w:bidi w:val="0"/>
        <w:spacing w:before="120" w:after="0"/>
        <w:jc w:val="left"/>
        <w:rPr/>
      </w:pPr>
      <w:r>
        <w:rPr/>
        <w:t>“</w:t>
      </w:r>
      <w:r>
        <w:rPr>
          <w:rFonts w:ascii="Times New Roman" w:hAnsi="Times New Roman"/>
          <w:b/>
          <w:sz w:val="20"/>
        </w:rPr>
        <w:t>Class</w:t>
      </w:r>
      <w:r>
        <w:rPr>
          <w:rFonts w:ascii="Times New Roman" w:hAnsi="Times New Roman"/>
          <w:sz w:val="20"/>
        </w:rPr>
        <w:t>” or “</w:t>
      </w:r>
      <w:r>
        <w:rPr>
          <w:rFonts w:ascii="Times New Roman" w:hAnsi="Times New Roman"/>
          <w:b/>
          <w:sz w:val="20"/>
        </w:rPr>
        <w:t>Classes</w:t>
      </w:r>
      <w:r>
        <w:rPr>
          <w:rFonts w:ascii="Times New Roman" w:hAnsi="Times New Roman"/>
          <w:sz w:val="20"/>
        </w:rPr>
        <w:t xml:space="preserve">” means any class or classes of Shares as may from time to time be issued by the Company. </w:t>
      </w:r>
    </w:p>
    <w:p>
      <w:pPr>
        <w:pStyle w:val="TextBody"/>
        <w:bidi w:val="0"/>
        <w:spacing w:before="120" w:after="0"/>
        <w:jc w:val="left"/>
        <w:rPr/>
      </w:pPr>
      <w:r>
        <w:rPr/>
        <w:t>“</w:t>
      </w:r>
      <w:r>
        <w:rPr>
          <w:rFonts w:ascii="Times New Roman" w:hAnsi="Times New Roman"/>
          <w:b/>
          <w:sz w:val="20"/>
        </w:rPr>
        <w:t>Companies Act</w:t>
      </w:r>
      <w:r>
        <w:rPr>
          <w:rFonts w:ascii="Times New Roman" w:hAnsi="Times New Roman"/>
          <w:sz w:val="20"/>
        </w:rPr>
        <w:t xml:space="preserve">” means the Companies Act (as amended) of the Cayman Islands. </w:t>
      </w:r>
    </w:p>
    <w:p>
      <w:pPr>
        <w:pStyle w:val="TextBody"/>
        <w:bidi w:val="0"/>
        <w:spacing w:before="120" w:after="0"/>
        <w:jc w:val="left"/>
        <w:rPr/>
      </w:pPr>
      <w:r>
        <w:rPr/>
        <w:t>“</w:t>
      </w:r>
      <w:r>
        <w:rPr>
          <w:rFonts w:ascii="Times New Roman" w:hAnsi="Times New Roman"/>
          <w:b/>
          <w:sz w:val="20"/>
        </w:rPr>
        <w:t>Designated Stock Exchange</w:t>
      </w:r>
      <w:r>
        <w:rPr>
          <w:rFonts w:ascii="Times New Roman" w:hAnsi="Times New Roman"/>
          <w:sz w:val="20"/>
        </w:rPr>
        <w:t xml:space="preserve">” means any national securities exchange or automated quotation system on which the Company’s securities are listed for trading, including but not limited to The Nasdaq Stock Market LLC, The NYSE MKT LLC, The New York Stock Exchange LLC or any OTC market. </w:t>
      </w:r>
    </w:p>
    <w:p>
      <w:pPr>
        <w:pStyle w:val="TextBody"/>
        <w:bidi w:val="0"/>
        <w:spacing w:before="120" w:after="0"/>
        <w:jc w:val="left"/>
        <w:rPr/>
      </w:pPr>
      <w:r>
        <w:rPr/>
        <w:t>“</w:t>
      </w:r>
      <w:r>
        <w:rPr>
          <w:rFonts w:ascii="Times New Roman" w:hAnsi="Times New Roman"/>
          <w:b/>
          <w:sz w:val="20"/>
        </w:rPr>
        <w:t>Director 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Directors</w:t>
      </w:r>
      <w:r>
        <w:rPr>
          <w:rFonts w:ascii="Times New Roman" w:hAnsi="Times New Roman"/>
          <w:sz w:val="20"/>
        </w:rPr>
        <w:t xml:space="preserve">” means the directors of the Company for the time being, or as the case may be, the directors assembled as a board or as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electronic meeting</w:t>
      </w:r>
      <w:r>
        <w:rPr>
          <w:rFonts w:ascii="Times New Roman" w:hAnsi="Times New Roman"/>
          <w:sz w:val="20"/>
        </w:rPr>
        <w:t xml:space="preserve">” means an annual general meeting or a general meeting held and conducted wholly and exclusively by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Electronic Transactions Act</w:t>
      </w:r>
      <w:r>
        <w:rPr>
          <w:rFonts w:ascii="Times New Roman" w:hAnsi="Times New Roman"/>
          <w:sz w:val="20"/>
        </w:rPr>
        <w:t xml:space="preserve">” means the Electronic Transactions Act (as amended) of the Cayman Islands. </w:t>
      </w:r>
    </w:p>
    <w:p>
      <w:pPr>
        <w:pStyle w:val="TextBody"/>
        <w:bidi w:val="0"/>
        <w:spacing w:before="12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hybrid meeting</w:t>
      </w:r>
      <w:r>
        <w:rPr>
          <w:rFonts w:ascii="Times New Roman" w:hAnsi="Times New Roman"/>
          <w:sz w:val="20"/>
        </w:rPr>
        <w:t xml:space="preserve">” means an annual general meeting or a general meeting held and conducted by (i) physical attendance by Shareholders and/or proxies and (ii)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Indemnified Person</w:t>
      </w:r>
      <w:r>
        <w:rPr>
          <w:rFonts w:ascii="Times New Roman" w:hAnsi="Times New Roman"/>
          <w:sz w:val="20"/>
        </w:rPr>
        <w:t xml:space="preserve">” has the meaning given to it in Article 116. </w:t>
      </w:r>
    </w:p>
    <w:p>
      <w:pPr>
        <w:pStyle w:val="TextBody"/>
        <w:bidi w:val="0"/>
        <w:spacing w:before="120" w:after="0"/>
        <w:jc w:val="left"/>
        <w:rPr/>
      </w:pPr>
      <w:r>
        <w:rPr/>
        <w:t>“</w:t>
      </w:r>
      <w:r>
        <w:rPr>
          <w:rFonts w:ascii="Times New Roman" w:hAnsi="Times New Roman"/>
          <w:b/>
          <w:sz w:val="20"/>
        </w:rPr>
        <w:t>Material Ownership Interests</w:t>
      </w:r>
      <w:r>
        <w:rPr>
          <w:rFonts w:ascii="Times New Roman" w:hAnsi="Times New Roman"/>
          <w:sz w:val="20"/>
        </w:rPr>
        <w:t xml:space="preserve">” has the meaning given to in Article 10(c). </w:t>
      </w:r>
    </w:p>
    <w:p>
      <w:pPr>
        <w:pStyle w:val="TextBody"/>
        <w:bidi w:val="0"/>
        <w:spacing w:before="120" w:after="0"/>
        <w:jc w:val="left"/>
        <w:rPr/>
      </w:pPr>
      <w:r>
        <w:rPr/>
        <w:t>“</w:t>
      </w:r>
      <w:r>
        <w:rPr>
          <w:rFonts w:ascii="Times New Roman" w:hAnsi="Times New Roman"/>
          <w:b/>
          <w:sz w:val="20"/>
        </w:rPr>
        <w:t>Memorandum of Association</w:t>
      </w:r>
      <w:r>
        <w:rPr>
          <w:rFonts w:ascii="Times New Roman" w:hAnsi="Times New Roman"/>
          <w:sz w:val="20"/>
        </w:rPr>
        <w:t xml:space="preserve">” means the memorandum of association of the Company, as amended or substituted from time to time. </w:t>
      </w:r>
    </w:p>
    <w:p>
      <w:pPr>
        <w:pStyle w:val="TextBody"/>
        <w:bidi w:val="0"/>
        <w:spacing w:before="120" w:after="0"/>
        <w:jc w:val="left"/>
        <w:rPr/>
      </w:pPr>
      <w:r>
        <w:rPr/>
        <w:t>“</w:t>
      </w:r>
      <w:r>
        <w:rPr>
          <w:rFonts w:ascii="Times New Roman" w:hAnsi="Times New Roman"/>
          <w:b/>
          <w:sz w:val="20"/>
        </w:rPr>
        <w:t>Office</w:t>
      </w:r>
      <w:r>
        <w:rPr>
          <w:rFonts w:ascii="Times New Roman" w:hAnsi="Times New Roman"/>
          <w:sz w:val="20"/>
        </w:rPr>
        <w:t xml:space="preserve">” means the registered office of the Company as required by the Companies Act. </w:t>
      </w:r>
    </w:p>
    <w:p>
      <w:pPr>
        <w:pStyle w:val="TextBody"/>
        <w:bidi w:val="0"/>
        <w:spacing w:before="120" w:after="0"/>
        <w:jc w:val="left"/>
        <w:rPr/>
      </w:pPr>
      <w:r>
        <w:rPr/>
        <w:t>“</w:t>
      </w:r>
      <w:r>
        <w:rPr>
          <w:rFonts w:ascii="Times New Roman" w:hAnsi="Times New Roman"/>
          <w:b/>
          <w:sz w:val="20"/>
        </w:rPr>
        <w:t>Officers</w:t>
      </w:r>
      <w:r>
        <w:rPr>
          <w:rFonts w:ascii="Times New Roman" w:hAnsi="Times New Roman"/>
          <w:sz w:val="20"/>
        </w:rPr>
        <w:t xml:space="preserve">” means the officers for the time being and from time to time of the Company. </w:t>
      </w:r>
    </w:p>
    <w:p>
      <w:pPr>
        <w:pStyle w:val="TextBody"/>
        <w:bidi w:val="0"/>
        <w:spacing w:before="120" w:after="0"/>
        <w:jc w:val="left"/>
        <w:rPr/>
      </w:pPr>
      <w:r>
        <w:rPr/>
        <w:t>“</w:t>
      </w:r>
      <w:r>
        <w:rPr>
          <w:rFonts w:ascii="Times New Roman" w:hAnsi="Times New Roman"/>
          <w:b/>
          <w:sz w:val="20"/>
        </w:rPr>
        <w:t>Ordinary Resolution</w:t>
      </w:r>
      <w:r>
        <w:rPr>
          <w:rFonts w:ascii="Times New Roman" w:hAnsi="Times New Roman"/>
          <w:sz w:val="20"/>
        </w:rPr>
        <w:t xml:space="preserve">” means a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passed by a simple majority of the votes cast by such Shareholders as, being entitled to do so, vote in person or, where proxies are allowed, by proxy at a general meeting of the Company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Ordinary Shares</w:t>
      </w:r>
      <w:r>
        <w:rPr>
          <w:rFonts w:ascii="Times New Roman" w:hAnsi="Times New Roman"/>
          <w:sz w:val="20"/>
        </w:rPr>
        <w:t xml:space="preserve">” means the ordinary shares in the capital of the Company of $0.00001 nominal or par value designated as “Ordinary Shares”, and having the rights provided for in these Articles. </w:t>
      </w:r>
    </w:p>
    <w:p>
      <w:pPr>
        <w:pStyle w:val="TextBody"/>
        <w:bidi w:val="0"/>
        <w:spacing w:before="120" w:after="0"/>
        <w:jc w:val="left"/>
        <w:rPr/>
      </w:pPr>
      <w:r>
        <w:rPr/>
        <w:t>“</w:t>
      </w:r>
      <w:r>
        <w:rPr>
          <w:rFonts w:ascii="Times New Roman" w:hAnsi="Times New Roman"/>
          <w:b/>
          <w:sz w:val="20"/>
        </w:rPr>
        <w:t>paid up</w:t>
      </w:r>
      <w:r>
        <w:rPr>
          <w:rFonts w:ascii="Times New Roman" w:hAnsi="Times New Roman"/>
          <w:sz w:val="20"/>
        </w:rPr>
        <w:t xml:space="preserve">” means paid up as to the par value in respect of the issue of any Shares and includes credited as paid up. </w:t>
      </w:r>
    </w:p>
    <w:p>
      <w:pPr>
        <w:pStyle w:val="TextBody"/>
        <w:bidi w:val="0"/>
        <w:spacing w:before="120" w:after="0"/>
        <w:jc w:val="left"/>
        <w:rPr/>
      </w:pPr>
      <w:r>
        <w:rPr/>
        <w:t>“</w:t>
      </w:r>
      <w:r>
        <w:rPr>
          <w:rFonts w:ascii="Times New Roman" w:hAnsi="Times New Roman"/>
          <w:b/>
          <w:sz w:val="20"/>
        </w:rPr>
        <w:t>Person</w:t>
      </w:r>
      <w:r>
        <w:rPr>
          <w:rFonts w:ascii="Times New Roman" w:hAnsi="Times New Roman"/>
          <w:sz w:val="20"/>
        </w:rPr>
        <w:t xml:space="preserve">” means any natural person, firm, company, joint venture, partnership, company,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 </w:t>
      </w:r>
    </w:p>
    <w:p>
      <w:pPr>
        <w:pStyle w:val="TextBody"/>
        <w:bidi w:val="0"/>
        <w:spacing w:before="120" w:after="0"/>
        <w:jc w:val="left"/>
        <w:rPr/>
      </w:pPr>
      <w:r>
        <w:rPr/>
        <w:t>“</w:t>
      </w:r>
      <w:r>
        <w:rPr>
          <w:rFonts w:ascii="Times New Roman" w:hAnsi="Times New Roman"/>
          <w:b/>
          <w:sz w:val="20"/>
        </w:rPr>
        <w:t>Preferred Shares</w:t>
      </w:r>
      <w:r>
        <w:rPr>
          <w:rFonts w:ascii="Times New Roman" w:hAnsi="Times New Roman"/>
          <w:sz w:val="20"/>
        </w:rPr>
        <w:t xml:space="preserve">” means the Preferred Shares in the capital of the Company of $0.00001 nominal or par value designated as Preferred Shares or such other Series of Preferred Shares, and having the rights provided for in these Articles. </w:t>
      </w:r>
    </w:p>
    <w:p>
      <w:pPr>
        <w:pStyle w:val="TextBody"/>
        <w:bidi w:val="0"/>
        <w:spacing w:before="120" w:after="0"/>
        <w:jc w:val="left"/>
        <w:rPr/>
      </w:pPr>
      <w:r>
        <w:rPr/>
        <w:t>“</w:t>
      </w:r>
      <w:r>
        <w:rPr>
          <w:rFonts w:ascii="Times New Roman" w:hAnsi="Times New Roman"/>
          <w:b/>
          <w:sz w:val="20"/>
        </w:rPr>
        <w:t>Proposing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Principal Register</w:t>
      </w:r>
      <w:r>
        <w:rPr>
          <w:rFonts w:ascii="Times New Roman" w:hAnsi="Times New Roman"/>
          <w:sz w:val="20"/>
        </w:rPr>
        <w:t xml:space="preserve">” means where the Company has established one or more Branch Registers pursuant to the Companies Act and these Articles, means the Register maintained by the Company pursuant to the Companies Act and these Articles that is not designated by the Directors as a Branch Register. </w:t>
      </w:r>
    </w:p>
    <w:p>
      <w:pPr>
        <w:pStyle w:val="TextBody"/>
        <w:bidi w:val="0"/>
        <w:spacing w:before="120" w:after="0"/>
        <w:jc w:val="left"/>
        <w:rPr/>
      </w:pPr>
      <w:r>
        <w:rPr/>
        <w:t>“</w:t>
      </w:r>
      <w:r>
        <w:rPr>
          <w:rFonts w:ascii="Times New Roman" w:hAnsi="Times New Roman"/>
          <w:b/>
          <w:sz w:val="20"/>
        </w:rPr>
        <w:t>qualified representative</w:t>
      </w:r>
      <w:r>
        <w:rPr>
          <w:rFonts w:ascii="Times New Roman" w:hAnsi="Times New Roman"/>
          <w:sz w:val="20"/>
        </w:rPr>
        <w:t xml:space="preserve">” has the meaning given to it in Article 15. </w:t>
      </w:r>
    </w:p>
    <w:p>
      <w:pPr>
        <w:pStyle w:val="TextBody"/>
        <w:bidi w:val="0"/>
        <w:spacing w:before="120" w:after="0"/>
        <w:jc w:val="left"/>
        <w:rPr/>
      </w:pPr>
      <w:r>
        <w:rPr/>
        <w:t>“</w:t>
      </w:r>
      <w:r>
        <w:rPr>
          <w:rFonts w:ascii="Times New Roman" w:hAnsi="Times New Roman"/>
          <w:b/>
          <w:sz w:val="20"/>
        </w:rPr>
        <w:t>Register</w:t>
      </w:r>
      <w:r>
        <w:rPr>
          <w:rFonts w:ascii="Times New Roman" w:hAnsi="Times New Roman"/>
          <w:sz w:val="20"/>
        </w:rPr>
        <w:t xml:space="preserve">” means the register of members of the Company required to be kept pursuant to the Companies Act and includes any Branch Register(s) established by the Company in accordance with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related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Seal</w:t>
      </w:r>
      <w:r>
        <w:rPr>
          <w:rFonts w:ascii="Times New Roman" w:hAnsi="Times New Roman"/>
          <w:sz w:val="20"/>
        </w:rPr>
        <w:t xml:space="preserve">” means the common seal of the Company (if adopted) including any facsimile thereof. </w:t>
      </w:r>
    </w:p>
    <w:p>
      <w:pPr>
        <w:pStyle w:val="TextBody"/>
        <w:bidi w:val="0"/>
        <w:spacing w:before="12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120" w:after="0"/>
        <w:jc w:val="left"/>
        <w:rPr/>
      </w:pPr>
      <w:r>
        <w:rPr/>
        <w:t>“</w:t>
      </w:r>
      <w:r>
        <w:rPr>
          <w:rFonts w:ascii="Times New Roman" w:hAnsi="Times New Roman"/>
          <w:b/>
          <w:sz w:val="20"/>
        </w:rPr>
        <w:t>Secretary</w:t>
      </w:r>
      <w:r>
        <w:rPr>
          <w:rFonts w:ascii="Times New Roman" w:hAnsi="Times New Roman"/>
          <w:sz w:val="20"/>
        </w:rPr>
        <w:t xml:space="preserve">” means any Person appointed by the Directors to perform any of the duties of the secretary of the Company.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Series</w:t>
      </w:r>
      <w:r>
        <w:rPr>
          <w:rFonts w:ascii="Times New Roman" w:hAnsi="Times New Roman"/>
          <w:sz w:val="20"/>
        </w:rPr>
        <w:t xml:space="preserve">” means a series of a Class as may from time to time be issued by the Company. </w:t>
      </w:r>
    </w:p>
    <w:p>
      <w:pPr>
        <w:pStyle w:val="TextBody"/>
        <w:bidi w:val="0"/>
        <w:spacing w:before="120" w:after="0"/>
        <w:jc w:val="left"/>
        <w:rPr/>
      </w:pPr>
      <w:r>
        <w:rPr/>
        <w:t>“</w:t>
      </w:r>
      <w:r>
        <w:rPr>
          <w:rFonts w:ascii="Times New Roman" w:hAnsi="Times New Roman"/>
          <w:b/>
          <w:sz w:val="20"/>
        </w:rPr>
        <w:t>Share</w:t>
      </w:r>
      <w:r>
        <w:rPr>
          <w:rFonts w:ascii="Times New Roman" w:hAnsi="Times New Roman"/>
          <w:sz w:val="20"/>
        </w:rPr>
        <w:t>” means a share in the capital of the Company. All references to “</w:t>
      </w:r>
      <w:r>
        <w:rPr>
          <w:rFonts w:ascii="Times New Roman" w:hAnsi="Times New Roman"/>
          <w:b/>
          <w:sz w:val="20"/>
        </w:rPr>
        <w:t>Shares</w:t>
      </w:r>
      <w:r>
        <w:rPr>
          <w:rFonts w:ascii="Times New Roman" w:hAnsi="Times New Roman"/>
          <w:sz w:val="20"/>
        </w:rPr>
        <w:t xml:space="preserve">” herein shall be deemed to be Shares of any or all Classes as the context may require. For the avoidance of doubt in these Articles the expression “Share” shall include a fraction of a Share. </w:t>
      </w:r>
    </w:p>
    <w:p>
      <w:pPr>
        <w:pStyle w:val="TextBody"/>
        <w:bidi w:val="0"/>
        <w:spacing w:before="120" w:after="0"/>
        <w:jc w:val="left"/>
        <w:rPr/>
      </w:pPr>
      <w:r>
        <w:rPr/>
        <w:t>“</w:t>
      </w:r>
      <w:r>
        <w:rPr>
          <w:rFonts w:ascii="Times New Roman" w:hAnsi="Times New Roman"/>
          <w:b/>
          <w:sz w:val="20"/>
        </w:rPr>
        <w:t>Shareholder</w:t>
      </w:r>
      <w:r>
        <w:rPr>
          <w:rFonts w:ascii="Times New Roman" w:hAnsi="Times New Roman"/>
          <w:sz w:val="20"/>
        </w:rPr>
        <w:t xml:space="preserve">” means a Person who is registered as the holder of Shares in the Register and includes each subscriber to the Memorandum of Association pending entry in the Register of such subscriber. </w:t>
      </w:r>
    </w:p>
    <w:p>
      <w:pPr>
        <w:pStyle w:val="TextBody"/>
        <w:bidi w:val="0"/>
        <w:spacing w:before="120" w:after="0"/>
        <w:jc w:val="left"/>
        <w:rPr/>
      </w:pPr>
      <w:r>
        <w:rPr/>
        <w:t>“</w:t>
      </w:r>
      <w:r>
        <w:rPr>
          <w:rFonts w:ascii="Times New Roman" w:hAnsi="Times New Roman"/>
          <w:b/>
          <w:sz w:val="20"/>
        </w:rPr>
        <w:t>Shareholder Requisite Removal with Cause Threshold</w:t>
      </w:r>
      <w:r>
        <w:rPr>
          <w:rFonts w:ascii="Times New Roman" w:hAnsi="Times New Roman"/>
          <w:sz w:val="20"/>
        </w:rPr>
        <w:t xml:space="preserve">” has the meaning given to it in Article 48. </w:t>
      </w:r>
    </w:p>
    <w:p>
      <w:pPr>
        <w:pStyle w:val="TextBody"/>
        <w:bidi w:val="0"/>
        <w:spacing w:before="120" w:after="0"/>
        <w:jc w:val="left"/>
        <w:rPr/>
      </w:pPr>
      <w:r>
        <w:rPr/>
        <w:t>“</w:t>
      </w:r>
      <w:r>
        <w:rPr>
          <w:rFonts w:ascii="Times New Roman" w:hAnsi="Times New Roman"/>
          <w:b/>
          <w:sz w:val="20"/>
        </w:rPr>
        <w:t>Shareholder Requisition</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 Delivery Date</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Requisitioned General Meeting</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 Premium Account</w:t>
      </w:r>
      <w:r>
        <w:rPr>
          <w:rFonts w:ascii="Times New Roman" w:hAnsi="Times New Roman"/>
          <w:sz w:val="20"/>
        </w:rPr>
        <w:t xml:space="preserve">” means the share premium account established in accordance with these Articles and the Companies Act. </w:t>
      </w:r>
    </w:p>
    <w:p>
      <w:pPr>
        <w:pStyle w:val="TextBody"/>
        <w:bidi w:val="0"/>
        <w:spacing w:before="120" w:after="0"/>
        <w:jc w:val="left"/>
        <w:rPr/>
      </w:pPr>
      <w:r>
        <w:rPr/>
        <w:t>“</w:t>
      </w:r>
      <w:r>
        <w:rPr>
          <w:rFonts w:ascii="Times New Roman" w:hAnsi="Times New Roman"/>
          <w:b/>
          <w:sz w:val="20"/>
        </w:rPr>
        <w:t>signed</w:t>
      </w:r>
      <w:r>
        <w:rPr>
          <w:rFonts w:ascii="Times New Roman" w:hAnsi="Times New Roman"/>
          <w:sz w:val="20"/>
        </w:rPr>
        <w:t>” or “</w:t>
      </w:r>
      <w:r>
        <w:rPr>
          <w:rFonts w:ascii="Times New Roman" w:hAnsi="Times New Roman"/>
          <w:b/>
          <w:sz w:val="20"/>
        </w:rPr>
        <w:t>executed</w:t>
      </w:r>
      <w:r>
        <w:rPr>
          <w:rFonts w:ascii="Times New Roman" w:hAnsi="Times New Roman"/>
          <w:sz w:val="20"/>
        </w:rPr>
        <w:t xml:space="preserve">” means bearing a signature or representation of a signature affixed by mechanical means. </w:t>
      </w:r>
    </w:p>
    <w:p>
      <w:pPr>
        <w:pStyle w:val="TextBody"/>
        <w:bidi w:val="0"/>
        <w:spacing w:before="120" w:after="0"/>
        <w:jc w:val="left"/>
        <w:rPr/>
      </w:pPr>
      <w:r>
        <w:rPr/>
        <w:t>“</w:t>
      </w:r>
      <w:r>
        <w:rPr>
          <w:rFonts w:ascii="Times New Roman" w:hAnsi="Times New Roman"/>
          <w:b/>
          <w:sz w:val="20"/>
        </w:rPr>
        <w:t>Solicitation Statement</w:t>
      </w:r>
      <w:r>
        <w:rPr>
          <w:rFonts w:ascii="Times New Roman" w:hAnsi="Times New Roman"/>
          <w:sz w:val="20"/>
        </w:rPr>
        <w:t>” has the meaning given to it in Article 10(e).“</w:t>
      </w:r>
      <w:r>
        <w:rPr>
          <w:rFonts w:ascii="Times New Roman" w:hAnsi="Times New Roman"/>
          <w:b/>
          <w:sz w:val="20"/>
        </w:rPr>
        <w:t>Special Resolution</w:t>
      </w:r>
      <w:r>
        <w:rPr>
          <w:rFonts w:ascii="Times New Roman" w:hAnsi="Times New Roman"/>
          <w:sz w:val="20"/>
        </w:rPr>
        <w:t xml:space="preserve">” means a special resolution of the Company passed in accordance with the Companies Act, being a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Synthetic Equity Interest</w:t>
      </w:r>
      <w:r>
        <w:rPr>
          <w:rFonts w:ascii="Times New Roman" w:hAnsi="Times New Roman"/>
          <w:sz w:val="20"/>
        </w:rPr>
        <w:t xml:space="preserve">” has the meaning given to it in Article 10(c). </w:t>
      </w:r>
    </w:p>
    <w:p>
      <w:pPr>
        <w:pStyle w:val="TextBody"/>
        <w:bidi w:val="0"/>
        <w:spacing w:before="120" w:after="0"/>
        <w:jc w:val="left"/>
        <w:rPr/>
      </w:pPr>
      <w:r>
        <w:rPr/>
        <w:t>“</w:t>
      </w:r>
      <w:r>
        <w:rPr>
          <w:rFonts w:ascii="Times New Roman" w:hAnsi="Times New Roman"/>
          <w:b/>
          <w:sz w:val="20"/>
        </w:rPr>
        <w:t>Timely Notice</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Treasury Shares</w:t>
      </w:r>
      <w:r>
        <w:rPr>
          <w:rFonts w:ascii="Times New Roman" w:hAnsi="Times New Roman"/>
          <w:sz w:val="20"/>
        </w:rPr>
        <w:t xml:space="preserve">” means Shares that were previously issued but were purchased, redeemed, surrendered or otherwise acquired by the Company and not cancelled.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save where the context requires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singular number shall include the plural number and vice 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masculine gender only shall include the feminine gender and any Person as the context may require;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word “may” shall be construed as permissive and the word “shall” shall be construed as imperative;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provisions of any law or regulation shall be construed as references to those provisions as amended, modified, re-enacted or replaced;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phrase introduced by the terms “including”, “include”, “in particular” or any similar expression shall be construed as illustrative and shall not limit the sense of the words preceding those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dollar or dollars or USD (or $) and to a cent or cents is reference to dollars and cents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statutory enactment shall include reference to any amendment or re-enactment thereof for the time being in 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(h)</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any determination by the Directors shall be construed as a determination by the Directors in their sole and absolute discretion and shall be applicable either generally or in any particular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(j)</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poll include, without limitation, a poll conducted using electronic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vote, votes, voting or votes cast include, without limitation, a vote, votes, voting or votes cast in each case using electronic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(l)</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electronic facilities include, without limitation, website addresses, webinars, webcast, video or any form of conference call system (telephone, video, web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(m)</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meetings, annual general meetings or general meetings include a physical meeting, a hybrid meeting or an electronic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(n)</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requirements as to execution or signature under the Articles including the execution of the Articles themselves can be satisfied in the form of an electronic signature as defined in the Electronic Transactions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preceding Articles, any words defined in the Companies Act shall, if not inconsistent with the subject or context, bear the same meaning in these Articles. </w:t>
            </w:r>
          </w:p>
        </w:tc>
      </w:tr>
    </w:tbl>
    <w:p>
      <w:pPr>
        <w:pStyle w:val="TextBody"/>
        <w:bidi w:val="0"/>
        <w:spacing w:before="480" w:after="0"/>
        <w:jc w:val="center"/>
        <w:rPr>
          <w:rFonts w:ascii="Times New Roman" w:hAnsi="Times New Roman"/>
          <w:b/>
          <w:sz w:val="20"/>
        </w:rPr>
      </w:pPr>
      <w:bookmarkStart w:id="22" w:name="anxi36079_3"/>
      <w:bookmarkEnd w:id="22"/>
      <w:r>
        <w:rPr>
          <w:rFonts w:ascii="Times New Roman" w:hAnsi="Times New Roman"/>
          <w:b/>
          <w:sz w:val="20"/>
        </w:rPr>
        <w:t xml:space="preserve">PRELIMINARY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4.</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the Company may be commenced at any time after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5.</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Office shall be at such address in the Cayman Islands as the Directors may from time to time determine. The Company may in addition establish and maintain such other offices and places of business and agencies in such places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keep, or cause to be kept, the Register at such place or (subject to compliance with the Companies Act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 xml:space="preserve">Act, provided always that a duplicate of such Branch Register(s) shall be maintained with the Principal Register in accordance with the Companies Act and the rules or requirements of any Designated Stock Exchange. </w:t>
            </w:r>
          </w:p>
        </w:tc>
      </w:tr>
    </w:tbl>
    <w:p>
      <w:pPr>
        <w:pStyle w:val="TextBody"/>
        <w:bidi w:val="0"/>
        <w:spacing w:before="480" w:after="0"/>
        <w:jc w:val="center"/>
        <w:rPr>
          <w:rFonts w:ascii="Times New Roman" w:hAnsi="Times New Roman"/>
          <w:b/>
          <w:sz w:val="20"/>
        </w:rPr>
      </w:pPr>
      <w:bookmarkStart w:id="23" w:name="anxi36079_4"/>
      <w:bookmarkEnd w:id="23"/>
      <w:r>
        <w:rPr>
          <w:rFonts w:ascii="Times New Roman" w:hAnsi="Times New Roman"/>
          <w:b/>
          <w:sz w:val="20"/>
        </w:rPr>
        <w:t xml:space="preserve">SHAREHOLDER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the Company’s Shares are traded on a Designated Stock Exchange, the Company shall in each year hold a general meeting as its annual general meeting at such time, date, place and in such form (whether as a physical meeting, hybrid meeting or an electronic meeting) as may be determined by the Directors or an officer designated by the board of Directors in accordance with the rules of the Designated Stock Exchange, unless such Designated Stock Exchange does not require the holding of an annual general meeting. </w:t>
            </w:r>
          </w:p>
        </w:tc>
      </w:tr>
    </w:tbl>
    <w:p>
      <w:pPr>
        <w:pStyle w:val="TextBody"/>
        <w:bidi w:val="0"/>
        <w:spacing w:before="360" w:after="0"/>
        <w:jc w:val="left"/>
        <w:rPr>
          <w:rFonts w:ascii="Times New Roman" w:hAnsi="Times New Roman"/>
          <w:sz w:val="20"/>
        </w:rPr>
      </w:pPr>
      <w:r>
        <w:rPr>
          <w:rFonts w:ascii="Times New Roman" w:hAnsi="Times New Roman"/>
          <w:sz w:val="20"/>
          <w:u w:val="single"/>
        </w:rPr>
        <w:t>Notice of Shareholder Business and Nominations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9.</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Nominations of persons for election to the board of Directors and the proposal of other business to be considered by the Shareholders may be brought before an annual general meeting (i) by or at the direction of the board of Directors or (ii) by any Shareholder who was a shareholder of record at the time of giving of notice provided for in this Article, who is entitled to vote at the meeting, who is present (in person or by proxy) at the meeting and who complies with the notice procedures set forth in Article 10 as to such nomination or business. For the avoidance of doubt, (x) the foregoing clause (ii) shall be the exclusive means for a Shareholder to bring nominations or business properly before an annual general meeting, and such Shareholder must also comply with the notice and other procedures set forth in Articles 9-15 to bring such nominations or business properly before an annual general meeting, and (y) the number of nominees a Shareholder may nominate for election at an annual general meeting (or in the case of a Shareholder giving the notice on behalf of a beneficial owner, the number of nominees a Shareholder may nominate for election at the annual general meeting on behalf of the beneficial owner) shall not exceed the number of directors to be elected at such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For nominations or other business to be properly brought before an annual general meeting by a Shareholder pursuant to clause (ii) of Article 9, the Shareholder must (i) have given Timely Notice (as defined below) thereof in writing to the Secretary or Directors of the Company, (ii) have provided any updates or supplements to such notice at the times and in the forms required by this Article 10 (iii) together with the beneficial owner(s), if any, on whose behalf the nomination or business proposal is made, have acted in accordance with the representations set forth in the Solicitation Statement (as defined below) required by this Article 10, and (iv) in the case of business other than nominations, such business shall only be matters that may be expressly determined by resolution of Shareholders under these Articles or the Companies Act (“</w:t>
            </w:r>
            <w:r>
              <w:rPr>
                <w:rFonts w:ascii="Times New Roman" w:hAnsi="Times New Roman"/>
                <w:b/>
                <w:sz w:val="20"/>
              </w:rPr>
              <w:t>Proper Subject</w:t>
            </w:r>
            <w:r>
              <w:rPr>
                <w:rFonts w:ascii="Times New Roman" w:hAnsi="Times New Roman"/>
                <w:sz w:val="20"/>
              </w:rPr>
              <w:t xml:space="preserve">”).. To be timely, a Shareholder’s written notice shall be received by the Secretary or Directors at the principal executive offices of the Company not later than the close of business on the ninetieth (90th) day nor earlier than the close of business on the one hundred twentieth (120th) day prior to the one-year anniversary of the preceding year’s annual general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the annual general meeting is first convened more than thirty (30) days before or more than sixty (60) days after such anniversary date, or if no annual general meeting were held in the preceding year, notice by the Shareholder to be timely must be received by the Secretary or Directors of the Company not later than the close of business on the later of the ninetieth (90th) day prior to the scheduled date of such annual general meeting or the tenth (10th) day following the day on which public announcement of the date of such meeting is first made (such notice within such time periods shall be referred to as “</w:t>
            </w:r>
            <w:r>
              <w:rPr>
                <w:rFonts w:ascii="Times New Roman" w:hAnsi="Times New Roman"/>
                <w:b/>
                <w:sz w:val="20"/>
              </w:rPr>
              <w:t>Timely Notice</w:t>
            </w:r>
            <w:r>
              <w:rPr>
                <w:rFonts w:ascii="Times New Roman" w:hAnsi="Times New Roman"/>
                <w:sz w:val="20"/>
              </w:rPr>
              <w:t xml:space="preserve">”). A Shareholder’s notice with respect to nominations of persons for election to the board of Directors given in accordance with this Article 10 must contain the names of only the nominees for whom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such Shareholder (or beneficial owner, if any) intends to solicit proxies and any substitute nominees in the event any such nominee is unable to serve or for good cause will not serve; provided that a Shareholder shall not be entitled to make or designate substitute nominees following the expiration of the time periods set forth in this Article 9, and in the event that a Shareholder’s notice includes one or more such substitute nominees, such Shareholder must provide timely notice of such substitute nominee(s) in accordance with the provisions of Articles 9-15 (including, without limitation, satisfaction of all applicable informational requirements set forth therein). Such Shareholder’s Timely Notice shall include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(as defined below) proposes to nominate for election or re-election as a director (i) the name, age, business address and residence address of the nominee, (ii) the principal occupation or employment of the nominee, (iii) the class and number of shares of the Company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Company,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Shareholder and each nominee and any other person or persons (naming such person or persons) pursuant to which the nominations are to be made by the Shareholder or concerning the nominee’s potential service on the board of Directors, and (vi)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proposes to nominate for election or re-election as a director, a written representation and agreement (in the form to be provided by the Secretary or Directors upon written request of any Proposing Person within five (5) business days of such request), which shall be signed by the person proposed to be nominated and pursuant to which such person shall represent and agree that such person: (A)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except as disclosed in such representation and agreement; or (2) that could limit or interfere with the person’s ability to comply, if elected as a director, with such person’s fiduciary duties under applicable law; (C) is not and will not become a party to any agreement, arrangement or understanding with any person or entity other than the Company with respect to any direct or indirect compensation, reimbursement or indemnification in connection with service or action as a director or nominee, except as disclosed in such representation and agreement; and (D) if elected as a director, will comply with all of the Company’s corporate governance policies and guidelines related to conflict of interest (and other fiduciary duties), confidentiality, share ownership and trading policies and guidelines, and any other Company policies and guidelines applicable to directors (which will be provided by the Secretary or Directors to such person within five (5) business days following a request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as to each person whom the Proposing Person proposes to nominate for election or re-election as a director, fully completed and signed questionnaire(s) prepared by the Company, with respect to such proposed nominee(s) in the form to be provided by the Secretary or Directors within five (5) business days following a request by a Proposing Person therefor (the “</w:t>
            </w:r>
            <w:r>
              <w:rPr>
                <w:rFonts w:ascii="Times New Roman" w:hAnsi="Times New Roman"/>
                <w:b/>
                <w:sz w:val="20"/>
              </w:rPr>
              <w:t>Questionnaire(s)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any other business that the Proposing Person proposes to bring before the meeting, a brief description of the business desired to be brought before the meeting, the text, if any, of any resolutions or amendments to the Articles proposed for adoption, the reasons for conducting such business at the meeting, and any material interest in such business of each Proposing Person, and if such Proposing Person is an entity, any related person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as of the date of the Timely Notice, (i) the name and address of the Proposing Person giving the notice, as they appear on the Company’s books, and the names and addresses of the other Proposing Persons (if any) and (ii) as to each Proposing Person, the following information: (a) the Class or Series and number of all Shares of the Company which are, directly or indirectly, owned beneficially or of record by such Proposing Person or any of its related persons, including any Shares of any Class or Series of the Company as to which such Proposing Person or any of its related persons has a right to acquire beneficial ownership at any time in the future, (b) all Synthetic Equity Interests (as defined below) in which such Proposing Person or any of its related persons,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or related person, (y) whether or not such Synthetic Equity Interest is required to be, or is capable of being, settled through delivery of such Shares and (z) whether or not such Proposing Person or related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or related person has or shares a right to, directly or indirectly, vote any Shares of the Company, (d) any rights to dividends or other distributions on the Shares of any Class or Series of the Company, directly or indirectly, owned beneficially by such Proposing Person or related person that are separated or separable from the underlying Shares of the Company, and (e) any performance-related fees (other than an asset based fee) that such Proposing Person or related person, directly or indirectly, is entitled to based on any increase or decrease in the value of Shares of the Company or any Synthetic Equity Interests (the disclosures to be made pursuant to the foregoing clauses (a) through (e) are referred to, collectively, as “</w:t>
            </w:r>
            <w:r>
              <w:rPr>
                <w:rFonts w:ascii="Times New Roman" w:hAnsi="Times New Roman"/>
                <w:b/>
                <w:sz w:val="20"/>
              </w:rPr>
              <w:t>Material Ownership Interests</w:t>
            </w:r>
            <w:r>
              <w:rPr>
                <w:rFonts w:ascii="Times New Roman" w:hAnsi="Times New Roman"/>
                <w:sz w:val="20"/>
              </w:rPr>
              <w:t xml:space="preserve">”) and (iii) a description of the material terms of all agreements, arrangements or understandings (whether or not in writing) entered into by any Proposing Person or any of related persons with any other person for the purpose of acquiring, holding, disposing or voting of any Shares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the Timely Notice, (i) a description of all agreements, arrangements or understandings by and among any of the Proposing Persons or related persons, or by and among any Proposing Persons or related persons and any other person (including with any proposed nominee(s)), pertaining to the nomination(s) or other business proposed to be brought before the meeting of Shareholders (which description shall identify the name of each other person who is party to such an agreement, arrangement or understanding), (ii) a description (which description shall include, in addition to all other information described in this clause (f), information identifying all parties thereto) of (x) any plans or proposals that such Proposing Persons or related persons and any other person may have with respect to securities of the Company that would be required to be disclosed pursuant to Item 4 of the Exchange Act Schedule 13D and (y) any agreement, arrangement or understanding with respect to the nomination or other proposed business between or among such Proposing Persons or related persons and any other person, including, without limitation any agreements that would be required to be disclosed pursuant to Item 5 or Item 6 of the Exchange Act Schedule 13D, (in the case of either clause (f)(x) or (f)(y), regardless of whether the requirement to file a Schedule 13D is applicable) and (iii) identification of the names and addresses of other Shareholders (including beneficial owners) known by any of the Proposing Persons or related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vAlign w:val="center"/>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 xml:space="preserve">persons to support such nominations or other business proposal(s), and to the extent known, the class and number of all shares of the Company owned beneficially or of record by such other Shareholder(s) or other beneficial owner(s);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 statement whether or not the Shareholder giving the notice and/or the other Proposing Person(s) or related person(s), if any, or any other participant (as defined in Item 4 of Schedule 14A under the Exchange Act) will engage in a solicitation with respect to such nomination or proposal and, if so, the name of each participant in such solicitation, and whether such solicitation will be conducted as an exempt solicitation under Rule 14a-2(b) of the Exchange Act, and (x) in the case of a proposal of business other than nominations, whether such person or group intends to deliver a proxy statement and form of proxy through means satisfying each of the conditions that would be applicable to the Company under either Rule 14a-16(a) under the Exchange Act or Rule 14a-16(n) under the Exchange Act, to holders of at least the percentage of the Company’s voting shares required under applicable law to carry the proposal, or (y) in the case of any non-exempt solicitation that is subject to Rule 14a-19 of the Exchange Act, confirming that such person or group will deliver, through means satisfying each of the conditions that would be applicable to the Company under either Exchange Act Rule 14a-16(a) or Exchange Act Rule 14a-16(n), a proxy statement and form of proxy to holders of at least 67% of the voting power of the Company’s shares entitled to vote generally in the election of directors, (for purposes of this clause (g), the term “holders” shall include, in addition to shareholders of record, any beneficial owners pursuant to Rule 14b-1 and Rule 14b-2 of the Exchange Act)(such statement, the “</w:t>
            </w:r>
            <w:r>
              <w:rPr>
                <w:rFonts w:ascii="Times New Roman" w:hAnsi="Times New Roman"/>
                <w:b/>
                <w:sz w:val="20"/>
              </w:rPr>
              <w:t>Solicitation Statement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promptly after a solicitation is made to the holders of the Company’s shares referred to in the Solicitation Statement required under clause (g) of this Article 10, and in any event no later than the 10th day before such annual general meeting, such Shareholder, Proposing Person or related person will provide the Company with documents, which may take the form of a certified statement and documentation from a proxy solicitor, specifically demonstrating that the necessary steps have been taken to deliver a proxy statement and form of proxy to holders of such percentage of the Company’s shares entitled to vote generally in the election of directors. </w:t>
            </w:r>
          </w:p>
        </w:tc>
      </w:tr>
    </w:tbl>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Proposing Person</w:t>
      </w:r>
      <w:r>
        <w:rPr>
          <w:rFonts w:ascii="Times New Roman" w:hAnsi="Times New Roman"/>
          <w:sz w:val="20"/>
        </w:rPr>
        <w:t xml:space="preserve">” shall mean the following persons: (i) the Shareholder of record providing the notice of nominations or business proposed to be brought before a Shareholders’ meeting, and (ii) the beneficial owner(s), if different, on whose behalf the nominations or business proposed to be brought before a Shareholders’ meeting is made. </w:t>
      </w:r>
    </w:p>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related person</w:t>
      </w:r>
      <w:r>
        <w:rPr>
          <w:rFonts w:ascii="Times New Roman" w:hAnsi="Times New Roman"/>
          <w:sz w:val="20"/>
        </w:rPr>
        <w:t xml:space="preserve">” shall mean, in the case of a Proposing Person that is an entity, each individual who is a director, executive officer (as defined in Rule 3b-7 under the Exchange Act), general partner or managing member of such entity or of any other entity that has or shares control of such entity </w:t>
      </w:r>
    </w:p>
    <w:p>
      <w:pPr>
        <w:pStyle w:val="TextBody"/>
        <w:bidi w:val="0"/>
        <w:spacing w:before="120" w:after="0"/>
        <w:jc w:val="left"/>
        <w:rPr>
          <w:rFonts w:ascii="Times New Roman" w:hAnsi="Times New Roman"/>
          <w:sz w:val="20"/>
        </w:rPr>
      </w:pPr>
      <w:r>
        <w:rPr>
          <w:rFonts w:ascii="Times New Roman" w:hAnsi="Times New Roman"/>
          <w:sz w:val="20"/>
        </w:rPr>
        <w:t>For purposes of Article 10(c), the term “</w:t>
      </w:r>
      <w:r>
        <w:rPr>
          <w:rFonts w:ascii="Times New Roman" w:hAnsi="Times New Roman"/>
          <w:b/>
          <w:sz w:val="20"/>
        </w:rPr>
        <w:t>Synthetic Equity Interest</w:t>
      </w:r>
      <w:r>
        <w:rPr>
          <w:rFonts w:ascii="Times New Roman" w:hAnsi="Times New Roman"/>
          <w:sz w:val="20"/>
        </w:rPr>
        <w:t xml:space="preserve">” shall mean any transaction, agreement or arrangement (or series of transactions, agreements or arrangements), including, without limitation, any derivative, swap, hedge, repurchase or so-called “share borrowing” agreement or arrangement, the purpose or effect of which is to, directly or indirectly: (a) give a person or entity economic benefit and/or risk similar to ownership of Shares of any Class or Series of the Company, in whole or in part, including due to the fact that such transaction, agreement or arrangement provides, directly or indirectly, the opportunity to profit or avoid a loss from any increase or decrease in the value of any Shares of any Class or Series of the Company, (b) mitigate loss to, reduce the economic risk of or manage the risk of share price changes for, any person or entity with respect to any Shares of any Class or Series of the Company, (c) otherwise provide in any manner the opportunity to profit or avoid a loss from any decrease in the value of any Shares of the Company, or (d) increase or decrease the voting power of any person or entity with respect to any Shares of any Class or Series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 providing Timely Notice of nominations or business proposed to be brought before an annual general meeting shall further update and supplement such notice, if necessary, so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information (including, without limitation, the Material Ownership Interests information) provided or required to be provided in such notice pursuant to these Articles shall be true and correct as of the record date for such annual general meeting and as of the date that is ten (10) business days prior to such annual general meeting, and such update and supplement shall be received by the Secretary or the Directors at the principal executive offices of the Company not later than the close of business on the fifth (5th) business day after the record date for such annual general meeting (in the case of the update and supplement required to be made as of the record date), and not later than the close of business on the eighth (8th) business day prior to the date of the annual general meeting (in the case of the update and supplement required to be made as of ten (10) business days prior to such annual general meeting). A proposed nominee for election or re-election as a director of the Company pursuant to Article 10 will provide to the Company promptly, but in any event within five business days after such request (or by the day prior to the day of the annual general meeting, if earlier) such other information as the Company may reasonably request, including such information reasonably necessary for the Company to determine whether such proposed nominee will satisfy any qualifications, requirements or standards imposed by the Articles, any law, rule, regulation or listing standard that may be applicable to the Company, or relevant to a determination whether such person can be considered an independent director of the Company. If any information or communication submitted pursuant to Articles 9-15 is inaccurate or incomplete in any respect (as determined by the board of Directors (or any authorized committee thereof) or in accordance with Article 13) in good faith, such information shall be deemed not to have been provided in accordance with Articles 9-15,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 second sentence of Article 10 to the contrary, in the event that the number of directors to be elected to the board of Directors of the Company is increased and there is no public announcement naming all of the nominees for director or specifying the size of the increased board of Directors made by the Company at least ten (10) days before the last day a Shareholder may deliver a notice of nomination in accordance with the second sentence of Article 10, a Shareholder’s notice required by these Articles shall also be considered timely, but only with respect to nominees for any new positions created by such increase, if it shall be received by the Secretary or Directors of the Company not later than the close of business on the tenth (10th) day following the day on which such public announcement is first made by the Company.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such persons who are nominated in accordance with the provisions of these Articles shall be eligible for election and to serve as Directors and only such business shall be conducted at an annual general meeting as shall have been brought before the meeting in accordance with the provisions of these Articles. The board of Directors or a designated committee thereof shall have the power to determine whether a nomination or any business proposed to be brought before the meeting was made in accordance with the provisions of these Articles. If neither the board of Directors nor such designated committee makes a determination as to whether any Shareholder proposal or nomination was made in accordance with the provisions of these Articles, the presiding officer or chairman of the annual general meeting shall have the power and duty to determine whether the Shareholder proposal or nomination was made in accordance with the provisions of these Articles. If the board of Directors or a designated committee thereof or the presiding officer or chairman, as applicable, determines that any Shareholder proposal or nomination was not made in accordance with the provisions of these Articles, such proposal or nomination shall be disregarded and shall not be presented for action at the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Articles 9-15 shall obligate the Company or the board of Directors to include in any proxy statement or other shareholder communication distributed on behalf of the Company or the board of Directors information with respect to any nominee for director or any other matter of business submitted by a Shareholder (other than a proposal included in the Company’s proxy statement pursuant to and in compliance with Rule 14a 8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Notwithstanding the foregoing provisions in Articles 9-15, if the nominating or proposing Shareholder (or a qualified representative of the Shareholder) does not appear at the annual general meeting to present a nomination or any business, such nomination or business shall be disregarded, notwithstanding that proxies in respect of such vote may have been received by the Company. For purposes of in Articles 9-15, to be considered a “</w:t>
            </w:r>
            <w:r>
              <w:rPr>
                <w:rFonts w:ascii="Times New Roman" w:hAnsi="Times New Roman"/>
                <w:b/>
                <w:sz w:val="20"/>
              </w:rPr>
              <w:t>qualified representative</w:t>
            </w:r>
            <w:r>
              <w:rPr>
                <w:rFonts w:ascii="Times New Roman" w:hAnsi="Times New Roman"/>
                <w:sz w:val="20"/>
              </w:rPr>
              <w:t xml:space="preserve">” of the proposing Shareholder, a person must be authorized by a written instrument executed by such Shareholder or an electronic transmission delivered by such Shareholder to act for such Shareholder as proxy at the meeting of Shareholders and such person must produce such written instrument or electronic transmission, or a reliable reproduction of the written instrument or electronic transmission, to the presiding officer or chairman at the meeting of Shareholders. </w:t>
            </w:r>
          </w:p>
        </w:tc>
      </w:tr>
    </w:tbl>
    <w:p>
      <w:pPr>
        <w:pStyle w:val="TextBody"/>
        <w:bidi w:val="0"/>
        <w:spacing w:before="240" w:after="0"/>
        <w:jc w:val="left"/>
        <w:rPr>
          <w:rFonts w:ascii="Times New Roman" w:hAnsi="Times New Roman"/>
          <w:sz w:val="20"/>
        </w:rPr>
      </w:pPr>
      <w:r>
        <w:rPr>
          <w:rFonts w:ascii="Times New Roman" w:hAnsi="Times New Roman"/>
          <w:sz w:val="20"/>
        </w:rPr>
        <w:t>For purposes of these Articles, “</w:t>
      </w:r>
      <w:r>
        <w:rPr>
          <w:rFonts w:ascii="Times New Roman" w:hAnsi="Times New Roman"/>
          <w:b/>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furnished or filed by the Company with the SEC pursuant to Section 13, 14 or 15(d)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16.</w:t>
            </w:r>
          </w:p>
        </w:tc>
        <w:tc>
          <w:tcPr>
            <w:tcW w:w="969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if any, of the holders of any Series of Preferred Shares and any Certificate of Designation, general meetings of Shareholders may be called (i) by the board of Directors acting pursuant to a resolution approved by the affirmative vote of a simple majority of the voting power of the Directors present at a meeting of the Directors, or in accordance with the terms set out in Article 54 of these Articles, or (ii) on the requisition in writing of any Shareholder or Shareholders entitled to attend and vote at a general meeting of the Company (whether such a general meeting is a physical meeting, a hybrid meeting or an electronic meeting, a “</w:t>
            </w:r>
            <w:r>
              <w:rPr>
                <w:rFonts w:ascii="Times New Roman" w:hAnsi="Times New Roman"/>
                <w:b/>
                <w:sz w:val="20"/>
              </w:rPr>
              <w:t>Shareholder Requisitioned General Meeting</w:t>
            </w:r>
            <w:r>
              <w:rPr>
                <w:rFonts w:ascii="Times New Roman" w:hAnsi="Times New Roman"/>
                <w:sz w:val="20"/>
              </w:rPr>
              <w:t>”) holding at least forty (40) percent of the paid up voting share capital of the Company (the “</w:t>
            </w:r>
            <w:r>
              <w:rPr>
                <w:rFonts w:ascii="Times New Roman" w:hAnsi="Times New Roman"/>
                <w:b/>
                <w:sz w:val="20"/>
              </w:rPr>
              <w:t>Requisite Percentage</w:t>
            </w:r>
            <w:r>
              <w:rPr>
                <w:rFonts w:ascii="Times New Roman" w:hAnsi="Times New Roman"/>
                <w:sz w:val="20"/>
              </w:rPr>
              <w:t>”) as of the ownership record date (as defined below) delivered to an officer or the Directors at the principal executive offices of the Company (a “</w:t>
            </w:r>
            <w:r>
              <w:rPr>
                <w:rFonts w:ascii="Times New Roman" w:hAnsi="Times New Roman"/>
                <w:b/>
                <w:sz w:val="20"/>
              </w:rPr>
              <w:t>Shareholder Requisition</w:t>
            </w:r>
            <w:r>
              <w:rPr>
                <w:rFonts w:ascii="Times New Roman" w:hAnsi="Times New Roman"/>
                <w:sz w:val="20"/>
              </w:rPr>
              <w:t>” and such delivery date, the “</w:t>
            </w:r>
            <w:r>
              <w:rPr>
                <w:rFonts w:ascii="Times New Roman" w:hAnsi="Times New Roman"/>
                <w:b/>
                <w:sz w:val="20"/>
              </w:rPr>
              <w:t>Shareholder Requisition Delivery Date</w:t>
            </w:r>
            <w:r>
              <w:rPr>
                <w:rFonts w:ascii="Times New Roman" w:hAnsi="Times New Roman"/>
                <w:sz w:val="20"/>
              </w:rPr>
              <w:t xml:space="preserve">”)). Such Shareholder Requisition shall (i) specify the business of the general meeting and the matters to be proposed at the general meeting, each of which shall be a business and matter properly brought before a general meeting in accordance with these Articles and applicable law, (ii) be dated and signed by each such Shareholder (or qualified representative) (iii) contain the information required by Articles 9-15 with respect to any director nominations or other business proposed to be presented at the general meeting; provided however, that, with respect to the Material Ownership Interests disclosure required by Article 10(e), the Shareholder Requisition shall be accompanied by documentary evidence supporting such disclosure as of the ownership record date; provided, however, that if the requesting persons are not the beneficial owners of the Shares representing the Requisite Percentage, then to be valid, the Shareholder Requisition must also include documentary evidence of the Material Ownership Interests of the beneficial owners on whose behalf the Shareholder Requisition is made, and (iv) be delivered to an officer or the Directors at the principal executive offices of the Company, by hand or by certified or registered mail, return receipt requested, within 60 days after the ownership record date. For the avoidance of doubt, the number of nominees a Shareholder may nominate for election at a general meeting (or in the case of a Shareholder giving the notice on behalf of a beneficial owner, the number of nominees a Shareholder may nominate for election at the general meeting on behalf of the beneficial owner) shall not exceed the number of directors to be elected at such general meeting. Only those matters set forth in the notice of the general meeting may be considered or acted upon at a general meeting of Shareholders. For the avoidance of doubt, nominations of persons for election to the board of Directors of the Company and Shareholder proposals of other business may be brought before a general meeting of Shareholders in the same manner as provided for annual general meetings in accordance with the terms of Articles 9-15. Any person seeking to request a general meeting shall first request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18"/>
        <w:gridCol w:w="9087"/>
      </w:tblGrid>
      <w:tr>
        <w:trPr/>
        <w:tc>
          <w:tcPr>
            <w:tcW w:w="1118" w:type="dxa"/>
            <w:tcBorders/>
            <w:vAlign w:val="center"/>
          </w:tcPr>
          <w:p>
            <w:pPr>
              <w:pStyle w:val="TableContents"/>
              <w:bidi w:val="0"/>
              <w:spacing w:before="0" w:after="283"/>
              <w:jc w:val="left"/>
              <w:rPr/>
            </w:pPr>
            <w:r>
              <w:rPr/>
              <w:t> </w:t>
            </w:r>
          </w:p>
        </w:tc>
        <w:tc>
          <w:tcPr>
            <w:tcW w:w="9087" w:type="dxa"/>
            <w:tcBorders/>
          </w:tcPr>
          <w:p>
            <w:pPr>
              <w:pStyle w:val="TableContents"/>
              <w:bidi w:val="0"/>
              <w:spacing w:before="0" w:after="283"/>
              <w:jc w:val="left"/>
              <w:rPr/>
            </w:pPr>
            <w:r>
              <w:rPr/>
              <w:t>board of Directors fix a record date to determine the persons entitled to request a special meeting (the “</w:t>
            </w:r>
            <w:r>
              <w:rPr>
                <w:b/>
              </w:rPr>
              <w:t>ownership record date</w:t>
            </w:r>
            <w:r>
              <w:rPr/>
              <w:t>”) by delivering notice in writing to the Secretary or the Directors at the principal executive offices of the Company (the “</w:t>
            </w:r>
            <w:r>
              <w:rPr>
                <w:b/>
              </w:rPr>
              <w:t>record date request notice</w:t>
            </w:r>
            <w:r>
              <w:rPr/>
              <w:t xml:space="preserve">”). A person’s record date request notice shall contain information about the Class or Series and number of shares of the Company which are owned of record and beneficially by the person as of the date of the record date request notice and state the business proposed to be acted on at the meeting. Upon receiving a record date request notice, the board of Directors may set an ownership record date. Notwithstanding any other provision of these Articles, the ownership record date shall not precede the date upon which the resolution fixing the ownership record date is adopted by the board of Directors, and shall not be more than 10 days after the close of business on the date upon which the resolution fixing the ownership record date is adopted by the board of Directors. If the board of Directors, within 10 days after the date upon which a valid record date request notice is received by the Secretary or the Directors, does not adopt a resolution fixing the ownership record date, the ownership record date shall be the close of business on the 10th day after the date upon which a valid record date request notice is received by the Secretary or the Directors (or, if such 10th day is not a business day, the first business day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not be required to call a Shareholder Requisitioned General Meeting if (i) the Shareholder Requisition does not comply with Article 16, (ii) the board of Directors has called, or calls an annual general meeting or a general meeting to be held within ninety (90) days after the Shareholder Requisition Delivery Date and the business of such meeting includes the business specified in the Shareholder Requisition; (iii) an annual general meeting or a general meeting has been held within twelve (12) months of the Shareholder Requisition Delivery Date at which the business specified in the Shareholder Requisition was considered; or (iv) the Shareholder Requisition relates to an item of business that is not a Proper Subject, or that involves a violation of, applicable law, such determinations under (ii), (iii) and (iv) to be made in good faith by the board of Directors. If the Shareholders who deposited the Shareholder Requisition in accordance with Article 16 do not attend the Shareholder Requisitioned General Meeting either in person (or by proxy) or by a qualified representative to present the business specified in the Shareholder Requisition, the Company shall not be required to present such business for a vote at such Shareholder Requisitioned General Meeting notwithstanding that proxies and votes in respect of such matter may have been received by the Company. Business transacted at a shareholder-requested general meeting shall be limited to: (i) the business stated in the valid Shareholder Requisition received from the Requisite Percentage; and (ii) any additional business that the board of Directors determines to include in the Company’s notice of meeting. The board of Directors may postpone or adjourn any general meeting previously scheduled pursuant to this Article 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Shareholder Requisitioned General Meeting is determined by an officer or the board of Directors, as applicable, to comply with Article 16, such Shareholder Requisitioned General Meeting shall be held not less than sixty (60) days and not more than ninety (90) days after the Shareholder Requisition Delivery Date, and written notice of such Shareholder Requisitioned General Meeting shall be given in accordance with the provisions in Article 17, save that the timing requirements for notice set out in Article 17 shall be replaced by the requirement that such notice of Shareholder Requisitioned General Meeting be given no later than 30 days after the Shareholder Requisition Delivery Date. Any Shareholder having requisitioned a Shareholder Requisitioned General Meeting in compliance with Article 16 may revoke such Shareholder Requisition at any time by written notice delivered to an officer or the Directors.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Notice of Meetings; Adjournments; Postponements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of each annual general meeting stating the time, date and place of such annual general meeting (and, if the annual general meeting is to be a hybrid meeting or an electronic meeting, the details of the electronic facilities for attendance and participation by electronic means at the annual general meeting)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which Shareholders and proxyholders may be deemed to be present in person and vote at such meeting, in each case as determined by the Directors, shall be given not less than seven (7) days nor more than sixty (60) days before the annual general meeting, to each Shareholder entitled to vote thereat as of the relevant record date for such meeting by delivering such notice to such Shareholder in accordance with Articles 123-127. No business may be transacted at such annual general meeting otherwise than specified in the notice of annual general meeting or as otherwise outlined in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all general meetings of Shareholders shall be given in the same manner as provided for annual general meetings, except that the notice of all general meetings shall state the business, purpose or purposes for which the meeting has been called.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an annual general meeting or general meeting of Shareholders need not be given to a Shareholder if a waiver of notice is executed and filed with the records of the meeting, or waiver of notice by electronic transmission is provided, before or after such meeting by such Shareholder or if such Shareholder attends such meeting (whether such meeting is a physical meeting, a hybrid meeting or an electronic meeting), unless such attendance is for the express purpose of objecting at the beginning of the meeting to the transaction of any business because the meeting was not lawfully called or convened or that a matter to be considered when it is presented to the meeting, is not within the purposes described in the notice of such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postpone, cancel and reschedule any previously scheduled annual general meeting or general meeting of Shareholders and any record date with respect thereto for any reason or for no reason at any time prior to the time for holding such meeting or, if the meeting is adjourned, adjourn for the reasons set out in, and in accordance with, Article 21. The Directors shall make a public announcement of any cancellation or postponement or otherwise provide notice to Shareholders of any cancellation or postponement, including a public announcement or notice specifying the form of the postponed or adjourned meeting (whether a physical meeting, a hybrid meeting or an electronic meeting). A postponement may be for a stated period of any length or indefinitely as the Directors may determine. In no event shall the public announcement of an adjournment, cancellation, postponement or rescheduling of any previously scheduled meeting of Shareholders commence a new time period (or extend any time period) for the giving of a Shareholder’s notice under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any meeting is convened, the chairman of the meeting may adjourn the meeting if (i) no quorum is present for the transaction of business, (ii) the chairman determines that adjournment is necessary or appropriate to enable the Shareholders to consider fully information which the chairman determines has not been made sufficiently or timely available to Shareholders, or (iii) the chairman determines that adjournment is otherwise in the best interests of the Company. When any annual general meeting or general meeting of Shareholders is adjourned to another time, date or place, notice need not be given of the adjourned meeting other than an announcement at the meeting at which the adjournment is taken of the time, date, place and the form of such meeting (whether a physical meeting, a hybrid meeting or an electronic meeting), if any, to which the meeting is adjourned; provided, however, that if the adjournment is for more than thirty (30) days from the meeting date, or if after the adjournment a new record date is fixed for the adjourned meeting, notice of the adjourned meeting specifying the time, date, place and the form of such meeting (whether a physical meeting, a hybrid meeting or an electronic meeting) shall be given to each Shareholder of record entitled to vote thereat and each Shareholder who, under these Articles, is entitled to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accidental omission to give notice of a meeting to or the non-receipt of a notice of a meeting by any Shareholder shall not invalidate the proceedings at any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Quorum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required in any Certificate of Designation (as the case may be) or these Articles, the holders of record of one-third of the issued and outstanding Shares entitled to vote, present in person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in Articles 17-21. A meeting will be adjourned until quorum is present. At such adjourned meeting at which a quorum is present, any business may be transacted which might have been transacted at the original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determining attendance at an annual general meeting or general meeting, it is immaterial whether any two or more Shareholders attending it are in the same place or using the same form (whether a physical meeting, a hybrid meeting or an electronic meeting) as each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or more Shareholders who are not in the same place as each other (or not attending using the same form as each other, whether through a physical meeting, a hybrid meeting or an electronic meeting) attend an annual general meeting or general meeting if their circumstances are such that if they have (or were to have) rights to speak and vote at that meeting, they are (or would be) able to exercise them.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Voting and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in these Articles and subject to any rights and restrictions for the time being attached to any Share, every holder of an Ordinary Share present in person and every Person representing a Shareholder by proxy shall, at an annual general meeting or general meeting of the Company, have one vote for each Ordinary Share of which he or she or the Person represented by proxy is the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for in a Certificate of Designation or as otherwise provided in these Articles and subject to any rights and restrictions for the time being attached to any Share, a holder of a Preferred Share shall have no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those Shareholders entitled to vote at any meeting of the Shareholders, except as otherwise provided by law, only persons in whose names are recorded on the Register on the record date, as provided in Article 41, shall be entitled to vote at any meeting of Shareholders. Every person entitled to vote shall have the right to do so either in person, by remote communication, if applicable, or by an agent or agents authorized by a duly appointed proxy. An agent so appointed need not be a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poll, votes may be given either personally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either: (i) in writing under the hand of the appointor or of his or her duly authorized attorney or, if the appointor is a corporation, either under Seal or under the hand of an Officer or attorney duly authorized; or (ii) given in such other manner as described in any form of proxy provided by the Company. A proxy need not be a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instrument appointing a proxy may be in any usual or common form or such other form as the Directors may approve.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deposited at the Office or at such other place as is specified for that purpose in the notice convening the meeting no later than the time specified in the notice convening the general meeting or, if no such time is specified, no later than the time for holding the meeting or, if the meeting is adjourned, the time for holding such adjourned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Shares held in the name of two or more persons shall be valid if executed by or on behalf of any one of them unless at or prior to the exercise of the proxy the Company receives a specific written notice to the contrary from any one of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resolution put to the vote of the meeting shall be decided on a poll in such manner as the chairman directs and the result of the poll shall be deemed to be the resolution of the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Action at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quorum is present at any meeting of Shareholders, any matter before any such meeting (other than an election of a director or directors) shall be decided by a simple majority of the votes properly cast for and against such matter, except where otherwise required under these Articles (including, without limitation, Articles 93, 128, 137 and 139), any Certificate of Designation, or by applicable law. For the avoidance of doubt, any election of directors by Shareholders entitled to vote on such election shall be determined by a plurality of the votes in accordance with Article 44.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Conduct of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every meeting of Shareholders, and unless otherwise determined by the board of Directors, the chairman of the Directors, or, if a chairman has not been appointed or is absent, the chief executive officer shall act as chairman of the meeting. The Secretary, or, in his or her absence, an assistant Secretary directed to do so by the chairman, shall act as Secretary of the meeting. The chairman of the meeting shall be entitled to make such rules or regulations for the conduct of meetings of Shareholders as it shall deem necessary, appropriate or convenient including, without limitation, establishing order of business for the meeting, rules and procedures for maintaining order at the meeting, limitations on participation in such meeting to Shareholders of record of the Company and regulation of the opening and closing of the polls for balloting on matters which are to be voted on by ballot. The chairman at any meeting of Shareholders shall have the power, among other things, to adjourn such meeting at any time and from time to time, subject to Article 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meeting may, in its absolute discretion, arrange for persons entitled to attend an annual general meeting or general meeting to do so by either one or both of the following: (i) physical attendance at the location of the annual general meeting or general meeting as determined by the chairman of the meeting in its absolute discretion and (ii) participation by means of electronic facilities as determined by the chairman of the meeting, in its absolute discretion. Without prejudice to any other provision of these Articles, any Shareholder or any proxy physically attending in any such way and any Shareholder or any proxy participating in any electronic meeting or a hybrid meeting by means of electronic facilities is deemed to be present at and shall be counted in the quorum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an annual general meeting or general meeting may attend, preside as chair at, and conduct proceedings of, such meeting by means of electronic facilities.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Inspector of Elections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in advance of any meeting of Shareholders, appoint one or more inspectors to act at the meeting and make a written report thereof. The Company may designate one or more persons as alternate inspectors to replace any inspector who fails to act. If no inspector or alternate is able to act at a meeting of Shareholders, the presiding officer or chairman shall appoint one or more inspectors to act at the meeting. Any inspector may, but need not, be an officer, employee or agent of the Company. Each inspector, before entering upon the discharge of his or her duties, shall take and sign an oath faithfully to execute the duties of inspector with strict impartiality and according to the best of his or her ability. The inspectors shall perform such duties as are required by applicable law, including the counting of all votes and ballots. The inspectors may appoint or retain other persons or entities to assist the inspectors in the performance of the duties of the inspectors. The presiding officer or chairman may review all determinations made by the inspectors, and in so doing the presiding officer or chairman shall be entitled to exercise his or her sole judgment and discretion and he or she shall not be bound by any determinations made by the inspectors. All determinations by the inspectors and, if applicable, the presiding officer or chairman, shall be subject to further review by any court of competent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Corporations Acting by Representatives at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which is a Shareholder or a Director may by resolution of its directors or other governing body authorize such Person as it thinks fit to act as its representative at any meeting of the Company or of any meeting of holders of any Class of Shareholder or of the Directors or of a committee of Directors, and the Person so authorized shall be entitled to exercise the same powers on behalf of the corporation which he or she represents as that corporation could exercise if it were an individual Shareholder or Director.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Clearing Houses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40.</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clearing house (or its nominee) is a Shareholder of the Company it may authorize (including through an omnibus proxy form) such Person or Persons as it thinks fit to act as its representative or representatives at any meeting of the Company or at any meeting of any Class of Shareholder of the Company. A Person so authorized pursuant to this Article 40 shall be entitled to exercise the same powers on behalf of the clearing house (or its nominee) which he or she represents as that clearing house (or its nominee) could exercise if it were an individual Shareholder holding the number and Class of Shares specified in such authorization.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Record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that the Company may determine the Shareholders entitled to notice of or to vote at any meeting of Shareholders or any adjournment thereof or entitled to receive payment of any dividend or other distribution or allotment of any rights, or entitled to exercise any rights in respect of any change, conversion or exchange of Shares or for the purpose of any other lawful action, the board of Directors may fix a record date, which record date shall not precede the date upon which the resolution fixing the record date is adopted by the board of Directors, unless otherwise agreed by the Directors, and which record date: (a) in the case of determination of Shareholders entitled to vote at any meeting of Shareholders, shall, unless otherwise required by applicable law, not be more than sixty (60) nor less than ten (10) days before the date of such meeting and (b) in the case of any other action, shall not be more than sixty (60) days prior to such other action. If no record date is fixed: (i)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and (ii) the record date for determining Shareholders for any other purpose shall be at the close of business on the day on which the board of Directors adopts the resolution relating thereto.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Powers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Term of Office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specified by these Articles or any Certificate of Designation, the size of the board of Directors shall be fixed by the board of Directors and may be increased or decreased at any time by the affirmative vote of a simple majority of the voting power of the Directors present, or in accordance with terms set out in Article 54 of these Articles. If for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reason, the Directors shall not have been elected at an annual general meeting in accordance with these Articles, they may be elected as soon thereafter as convenient at a general meeting of the Shareholders called for that purpose in the manner provided in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to elect additional directors specified by these Articles or any Certificate of Designation, for so long as the Company’s Shares are traded on a Designated Stock Exchange, the Directors (other than those who may be elected by the holders of any Series of Preferred Shares) shall be divided into three classes designated as Class I, Class II and Class III, respectively. The Directors are authorized to assign Directors already in office to such classes in accordance with a resolution or resolutions adopted by the board of Directors. At the first annual general meeting of Shareholders following the date of adoption of these Articles, the term of office of the Class I directors shall expire and Class I directors shall be elected for a full term of three years. At the second annual general meeting of Shareholders following the date of adoption of these Articles, the term of office of the Class II directors shall expire and Class II directors shall be elected for a full term of three years. At the third annual general meeting of Shareholders following the date of adoption of these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class whose terms expire at such annual general meeting. Notwithstanding the foregoing provisions of this Article 42, each Director shall serve until his or her successor is duly elected and qualified or until his or her earlier death, resignation or removal. No decrease in the number of directors constituting the board of Directors shall shorten the term of any incumbent director. Any election of directors by Shareholders shall be determined by a plurality of the votes properly cast on the election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Qualification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Director or officer need be a Shareholder of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Vacancies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to elect Directors and to fill vacancies in the board of Directors relating thereto in these Articles or any Certificate of Designation, any and all vacancies in the board of Directors, however occurring, including, without limitation, by reason of an increase in the size of the board of Directors, or the death, resignation, disqualification or removal of a Director, shall be filled by the affirmative vote of a simple majority of the voting power of the Directors present, or in accordance with the terms set out in Article 54 of these Articles, or by a sole remaining director, and not by the Shareholders.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In the event of a vacancy in the board of Directors, the remaining Directors, except as otherwise provided by law, shall exercise the powers of the full board of Directors until the vacancy is filled.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Removal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to remove Directors specified by these Articles or any Certificate of Designation, neither the board of Directors nor any individual Director may be removed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Ordinary Resolution (the “</w:t>
            </w:r>
            <w:r>
              <w:rPr>
                <w:rFonts w:ascii="Times New Roman" w:hAnsi="Times New Roman"/>
                <w:b/>
                <w:i/>
                <w:sz w:val="20"/>
              </w:rPr>
              <w:t>Shareholder</w:t>
            </w:r>
            <w:r>
              <w:rPr>
                <w:rFonts w:ascii="Times New Roman" w:hAnsi="Times New Roman"/>
                <w:sz w:val="20"/>
              </w:rPr>
              <w:t xml:space="preserv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a simple majority of Directors then in office (the “</w:t>
            </w:r>
            <w:r>
              <w:rPr>
                <w:rFonts w:ascii="Times New Roman" w:hAnsi="Times New Roman"/>
                <w:b/>
                <w:i/>
                <w:sz w:val="20"/>
              </w:rPr>
              <w:t>Director Requisite Removal with Cause Threshold</w:t>
            </w:r>
            <w:r>
              <w:rPr>
                <w:rFonts w:ascii="Times New Roman" w:hAnsi="Times New Roman"/>
                <w:sz w:val="20"/>
              </w:rPr>
              <w:t>” and together with the Shareholder Requisite Removal with Cause Threshold, the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purposes of Articles 47, 48 and 49 and any Certificate of Designation (as the case may be), “cause” for the removal of a Director shall be deemed to exist only if such Director has been found by the affirmative vote of the applicable Requisite Removal with Cause Threshold (provided that written advice of external legal counsel has been provided to the Company in support of such finding), or by a court of competent jurisdiction, to have been guilty of (a) wilful misconduct or fraud in the performance of such director’s duties to the Company or (b) any fraud or dishonesty or having acted in any manner which brings, or is likely to bring, such director or the Company into disrepute or is materially adverse to the Company’s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resign at any time by electronic transmission or by giving written notice to the board of Directors, the chairman, if one is elected, or the Secretary. A resignation shall be effective upon receipt, unless the resignation otherwise provides.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Meetings of the board of Directors may be held at such time, date and place (including any electronic facilities) as the board of Directors may from time to time determine and publicize by means of twenty-four hours’ notice (either orally or in writing, by telephone, including a voice-messaging system or other system designed to record and communicate messages, telegraph or telex, or by electronic mail or other electronic means), unless such notice is waived. A notice or waiver of notice need not specify the purpose of the meeting. Notice of a meeting need not be given to any Director if a waiver of notice signed by the Director before or after the meeting or delivered by the Director by means of electronic transmission is filed with the minutes or to any Director who attends the meeting without objecting to holding the meeting or transacting business at the meeting at the beginning of the meeting or promptly upon the Director’s arrival or who thereafter votes for or assents to action taken at the meeting. No further notice shall be required for meetings of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 simple majority of the voting power of the Directors then in office shall constitute a quorum for the transaction of business, but if less than a quorum is present at a meeting, the chairman, if one is elected, or a simple majority of the voting power of the Directors present may adjourn the meeting finally or from time to time without further notice until a quorum is secured. Any business which might have been transacted at the meeting as originally noticed may be transacted at such adjourned meeting at which a quorum is present. For purposes of this Article 52, the total number of Directors includes any unfilled vacancies on the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at Directors’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at which a quorum is present, the vote of a simple majority of the voting power of the Directors present shall constitute action by the board of Directors, unless otherwise specified under these Articles or any Certificate of Designation (as the case may be).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By Consent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resolution in writing signed by all the Directors or all the members of a committee of Directors entitled to receive notice of a meeting of Directors or committee of Directors, as the case may be (an alternate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Manner of Participation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Articles.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Chairman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elect a chairman of their meetings and determine the period for which they are to hold office but if no such chairman is elected, or if at any meeting the chairman is not present after the time appointed for holding the meeting, the Directors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Committees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by vote of a simple majority of the voting power of the Directors present or in accordance with the terms set out in Article 54 of these Articles, may elect one or more committees and may delegate thereto some or all of its powers in accordance with these Articles.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Articles for the board of Directors. All members of such committees shall hold such offices as the board of Directors may determine. The board of Directors may abolish any such committee at any time. Any committee to which the board of Directors delegates any of its powers or duties shall keep records of its meetings and shall report its action to the board of Directors. Subject to any regulations imposed on it by the Directors, a committee appointed by the Directors may elect a chairman of its meetings. If no such chairman is elected, or if at any meeting the chairman is not present after the time appointed for holding the meeting, the committee members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shall receive such compensation for their services as shall be determined by a simple majority of the voting power of the Directors present or in accordance with the terms set out in Article 54 of these Articles, or a designated committee thereof.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Interested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who is in any way, whether directly or indirectly, interested in a contract or proposed contract with the Company shall declare the nature of his or her interest at a meeting of the Directors. A general notice given to the Directors by any Director to the effect that he or she is to be regarded as interested in any contract or other arrangement which may thereafter be made with that company or firm shall be deemed a sufficient declaration of interest in regard to any contract so made. A Director may vote in respect of any contract or proposed contract or arrangement notwithstanding that he or she may be interested therein and if he or she does so his or her vote shall be counted and he or she may be counted in the quorum at any meeting of the Directors at which any such contract or proposed contract or arrangement shall come before the meeting for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Records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minutes to be made provided for the purpose of recording: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appointments of Officers made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Directors present at each meeting of the Directors and of any committee of the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resolutions and proceedings at all meetings of the Company, and of the Directors and of committees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Authority to Wind Up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have the authority to present a winding up petition on behalf of the Company without the sanction of a resolution passed by the Company in a general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Alternate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Director may in writing appoint another Person to be his or her alternate and, save to the extent provided otherwise in the form of appointment, such alternate shall have authority to sign written resolutions on behalf of the appointing Director, but shall not be authorized to sign such written resolutions where they have been signed by the appointing Director, and to act in such Director’s place at any meeting of the Directors. Every such alternate shall be entitled to attend and vote at meetings of the Directors as the alternate of the Director appointing him or her and where he or she is a Director to have a separate vote in addition to his or her own vote. A Director may at any time in writing revoke the appointment of an alternate appointed by him or her. Such alternate shall not be an Officer solely as a result of his or her appointment as an alternate other than in respect of such times as the alternate acts as a Director. The remuneration of such alternate shall be payable out of the remuneration of the Director appointing him or her and the proportion thereof shall be agreed between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appoint any Person, whether or not a Director to hold such office in the Company as the Directors may think necessary for the administration of the Company (including, for the avoidance of doubt and without limitation, any chairman (or co-chairman) of the board of Directors, one or more chief executive officers, presiding officer, presidents, a chief financial officer, a Secretary, assistant Secretary, vice-presidents, assistant vice-presidents, a treasurer, assistant treasurer or any other Officers as may be determined by the Directors),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 No Officer need be a Shareholder or a Director. Any Person may occupy more than one office of the Company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Times New Roman" w:hAnsi="Times New Roman"/>
                <w:b/>
                <w:sz w:val="20"/>
              </w:rPr>
              <w:t>Attorney</w:t>
            </w:r>
            <w:r>
              <w:rPr>
                <w:rFonts w:ascii="Times New Roman" w:hAnsi="Times New Roman"/>
                <w:sz w:val="20"/>
              </w:rPr>
              <w:t>” or “</w:t>
            </w:r>
            <w:r>
              <w:rPr>
                <w:rFonts w:ascii="Times New Roman" w:hAnsi="Times New Roman"/>
                <w:b/>
                <w:sz w:val="20"/>
              </w:rPr>
              <w:t>Authorised</w:t>
            </w:r>
            <w:r>
              <w:rPr>
                <w:rFonts w:ascii="Times New Roman" w:hAnsi="Times New Roman"/>
                <w:sz w:val="20"/>
              </w:rPr>
              <w:t xml:space="preserve"> </w:t>
            </w:r>
            <w:r>
              <w:rPr>
                <w:rFonts w:ascii="Times New Roman" w:hAnsi="Times New Roman"/>
                <w:b/>
                <w:sz w:val="20"/>
              </w:rPr>
              <w:t>Signatory</w:t>
            </w:r>
            <w:r>
              <w:rPr>
                <w:rFonts w:ascii="Times New Roman" w:hAnsi="Times New Roman"/>
                <w:sz w:val="20"/>
              </w:rPr>
              <w:t xml:space="preserve">”,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 or her.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to the rights and restrictions of holders of any Series of Preferred Shares specified by these Articles or any Certificate of Designation and, where applicable, the rules of the Designated Stock Exchange and/or any competent regulatory authority, all Shares for the time being unissued shall be under the control of the Directors who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allot and dispose of the same to such Persons, in such manner, on such terms and having such rights and being subject to such restrictions as they may from time to time determine;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options with respect to such Shares and issue warrants or similar instruments with respect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for such purposes, the Directors may reserve an appropriate number of Shares for the time being unissued.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Directors, or the Shareholders by Ordinary Resolution, may authorize the division of Shares into any number of Classes and sub-classes and Series and sub-Series and the different Classes and sub-classes and Series and sub-Series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and Series (if any) may be fixed and determined by the Directors or the Shareholders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of Shares may be effected in any manner available under applicable law, including redeeming or repurchasing the relevant Shares and applying the proceeds thereof towards payment for the new Shares. For the purposes of the repurchase or redemption, the Directors may, subject to the Company being able to pay its debts in the ordinary course of business, make payments out of amounts standing to the credit of the Company’s Share Premium Account or out of its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refuse to accept any application for Shares, and may accept any application in whole or in part, for any reason or for no reason. The Company may, insofar as may be permitted by law, pay a commission to any Person in consideration of their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issue fractions of a Share and, if so issued, a fraction of a Share shall be subject to and carry the corresponding fraction of liabilities (whether with respect to nominal or par value, premium,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Calls on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the allotment and issue of any Shares, the Directors may from time to time make calls upon the Shareholders in respect of Shares that are not fully paid, and each Shareholder shall (subject to receiving at least 14 days’ notice specifying the time or times of payment) pay to the Company at the time or times so specified the amount unpaid on such Shares. The Directors may at any time declare any Share to be wholly or in part exempt from the provisions of this Article.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joint holders of a Share shall be jointly and severally liable to pay calls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make arrangements on the issue of partly paid Shares for a difference between the Shareholders, or the particular Shares, in the amount of calls to be paid and in the times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if they think fit, receive from any Shareholder willing to advance the same all or any part of the moneys uncalled and unpaid upon any partly paid Shares held by him or her,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Forfeiture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Shareholder fails to pay any call or instalment of a call in respect of any Shares on the day appointed for payment, the Directors may, at any time thereafter during such time as any part of such call or instalment remains unpaid, serve a notice on him or her requiring payment of so much of the call or instalment as is unpaid, together with any interest which may have accrued.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shall name a further day (not earlier than the expiration of 14 days from the date of the notice) on or before which the payment required by the notice is to be made, and shall state that in the event of non-payment at or before the time appointed the Shares in respect of which the call was made will be liable to be forfeited.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requirements of any such notice as aforesaid are not complied with, any Share in respect of which the notice has been given may at any time thereafter, before the payment required by notice has been made, be forfeited by a resolution of the Directors to that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forfeited Share may be sold or otherwise disposed of on such terms and in such manner as the Directors think fit, and at any time before a sale or disposition the forfeiture may be cancelled on such terms as the Directors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whose Shares have been forfeited shall cease to be a Shareholder in respect of the forfeited Shares, but shall, notwithstanding, remain liable to pay to the Company all moneys which at the date of forfeiture were payable by him or her to the Company in respect of the Shares forfeited, but his or her liability shall cease if and when the Company receives payment in full of the amount unpaid on the Shares forfeited.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statutory declaration in writing that the declarant is a Director, and that a Share has been duly forfeited on a date stated in the declaration, shall be conclusive evidence of the facts in the declaration as against all Persons claiming to be entitled to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the rules or regulations of the Designated Stock Exchange or any relevant rules of the SEC or securities laws (including, but not limited to the Exchange Act), a Shareholder may transfer all or any of his or her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of any Share shall be in (i) any usual or common form; (ii) such form as is prescribed by the Designated Stock Exchange; or (iii) in any other form the Directors may determine and shall be executed by or on behalf of the transferor (or otherwise as prescribed by the rules and regulations of the Designated Stock Exchange)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issue thereof and the rules or regulations of the Designated Stock Exchange or any relevant rules of the SEC or securities laws (including, but not limited to the Exchange Act), the Directors may determine to decline to register any transfer of Shares without assigning any reason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of transfers may be suspended at such times and for such periods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instruments of transfer that are registered shall be retained by the Company, but any instrument of transfer that the Directors decline to register shall (except in any case of fraud) be returned to the Person depositing the same.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Transmission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holder of the Share, shall be the only Person recognised by the Company as having any title to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becoming entitled to a Share by reason of the death or bankruptcy of a Shareholder shall be entitled to the same dividends and other advantages to which he or she would be entitled if he or she were the registered Shareholder, except that he or she shall not, before being registered as a Shareholder in respect of the Share, be entitled in respect of it to exercise any right conferred by membership in relation to meetings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Alteration of Share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from time to time by Ordinary Resolution increase the share capital by such sum, to be divided into Shares of such Classes and amount, as the resolution shall prescribe.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a larger amount than its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all or any of its paid up Shares into stock and reconvert that stock into paid up Shares of any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any Shares that, at the date of the passing of the resolution, have not been taken or agreed to be taken by any Person and diminish the amount of its share capital by the amount of the Shares so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reduce its share capital and any capital redemption reserve in any manner authorized by law.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Purchase and Surrender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rules of the Designated Stock Exchange, the Company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Shares on terms that they are to be redeemed or are liable to be redeemed at the option of the Company or the Shareholder on such terms and in such manner as the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its own Shares (including any redeemable Shares) on such terms and in such manner as the Directors may determine and agree with the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respect of the redemption or purchase of its own Shares in any manner authorized by the Companies Act, including out of its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the surrender for no consideration of any paid up Share (including any redeemable Share) on such terms and in such manner as the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 in respect of which notice of redemption has been given shall not be entitled to participate in the profits of the Company in respect of the period after the date specified as the date of redemption in the notice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purchase or surrender of any Share shall not be deemed to give rise to the redemption, purchase or surrender of any other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when making payments in respect of redemption or purchase of Shares, if authorized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Treasury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that the Company purchases, redeems or acquires (by way of surrender or otherwise) may, at the option of the Company, be cancelled immediately or held as Treasury Shares in accordance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Companies Act. In the event that the Directors do not specify that the relevant Shares are to be held as Treasury Shares, such Shares shall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may be declared or paid, and no other distribution (whether in cash or otherwise) of the Company’s assets (including any distribution of assets to Shareholders on a winding up) may be declared or paid in respect of a Treasury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 entered in the Register as the holder of the Treasury Shares;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be treated as a member for any purpose and shall not exercise any right in respect of the Treasury Shares, and any purported exercise of such a right shall be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Treasury Shares may be disposed of by the Company on such terms and conditions as determined by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Capitalization of Reserves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these Articles, the Directors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 to capitalize an amount standing to the credit of reserves (including a Share Premium Account, capital redemption reserve and profit and loss account), whether or not available for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the sum resolved to be capitalized to the Shareholders in proportion to the nominal amount of Shares (whether or not fully paid) held by them respectively and apply that sum on their behalf in or towards: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up the amounts (if any) for the time being unpaid on Shares held by them respectively,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up in full unissued Shares or debentures of a nominal amount equal to that sum,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102, only be applied in paying up unissued Shares to be allotted to Shareholders credited as fully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arrangements they think fit to resolve a difficulty arising in the distribution of a capitalized reserve and in particular, without limitation, where Shares or debentures become distributable in fractions the Directors may deal with the fractions as they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a Person to enter (on behalf of all the Shareholders concerned) into an agreement with the Company providing for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allotment to the Shareholders respectively, credited as fully paid, of Shares or debentures to which they may be entitled on the capitalization,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by the Company on behalf of the Shareholders (by the application of their respective proportions of the reserves resolved to be capitalized) of the amounts or part of the amounts remaining unpaid on their existing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any such agreement made under this authority being effective and binding on all those Shareholders;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do all acts and things required to give effect to any of the actions contemplated by this Article 102.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 Premium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in accordance with the Companies Act establish a Share Premium Account and shall carry to the credit of such account from time to time a sum equal to the amount or value of the premium paid on the issue of any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debited to any Share Premium Account on the redemption or purchase of a Share the difference between the nominal value of such Share and the redemption or purchase price; provided that at the determination of the Directors such sum may be paid out of the profits of the Company or, if permitted by the Companies Act, out of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Certificates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so determined by the Directors, any Person whose name is entered as a member in the Register may receive a certificate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Shareholder’s registered address as appearing in the Register.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share certificate of the Company shall bear legends required under the applicable laws, including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two or more certificates representing Shares of any one Class held by any Shareholder may at the Shareholder’s request be cancelled and a single new certificate for such Shares issued in lieu on payment (if the Directors shall so require) of US$1.00 or such smaller sum as the Directors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share certificate shall be damaged or defaced or alleged to have been lost, stolen or destroyed, a new certificate representing the same Shares may be issued to the relevant Shareholder upon request subject to delivery of the old certificate or (if alleged to have been lost, stolen or destroyed) compliance with such conditions as to evidence and indemnity and the payment of out-of-pocket expenses of the Company in connection with the request as the Directors may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Shares are held jointly by several persons, any request may be made by any one of the joint holders and if so made shall be binding on all of the joint 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of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Whenever the capital of the Company is divided into different Classes (and as otherwise determined by the Directors)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a simple majority of the issued Shares of the relevant Class, or with the sanction of a resolution passed at a separate meeting of the holders of the Shares of such Class by a simple majority of the votes cast at such a meeting. To every such separate meeting all the provisions of these Articles relating to general meetings of the Company or to the proceedings thereat shall, mutatis mutandis, apply.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 The Directors may vary the rights attaching to any Class without the consent or approval of Shareholders provided that the rights will not, in the determination of the Directors, be materially adversely varied or abrogated by such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upon the holders of the Shares of any Class shall not, unless otherwise expressly provided by the terms of issue of the Shares of that Class, be deemed to be materially adversely varied or abrogated by, inter alia, the creation, allotment or issue of Shares ranking pari passu with them, subsequent to them, with preferred rights (including enhanced voting rights) or the redemption or purchase of any Shares of any Class by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b/>
          <w:i/>
          <w:sz w:val="20"/>
        </w:rPr>
      </w:pPr>
      <w:r>
        <w:rPr>
          <w:rFonts w:ascii="Times New Roman" w:hAnsi="Times New Roman"/>
          <w:b/>
          <w:i/>
          <w:sz w:val="20"/>
        </w:rPr>
        <w:t xml:space="preserve">Declaration of Dividends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or as otherwise provided for in the Companies Act, these Articles and any Certificate of Designation, the Directors may from time to time declare dividends (including interim dividends) and other distributions on Shares in issue and authorize payment of the same out of the funds of the Company lawfully available therefor. Dividends may be paid in cash, in property, or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dividend may be paid in any manner as the Directors may determine. If paid by cheque it will be sent through the post to the registered address of the Shareholder or Person entitled thereto, or in the case of joint holders, to any one of such joint holders at his or her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several Persons are registered as joint holders of any Share, any of them may give effectual receipts for any dividend or other moneys payable on or in respect of the Share.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Indemnification Of Directors, Officers, Employees and Other Agents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To the fullest extent permitted by law, every Director (including, for the purposes of this Article 116, any alternate Director appointed pursuant to the provisions of these Articles), Secretary, assistant Secretary, or other Officer (but not including the Company’s auditors) and the personal representatives of the same (each an “</w:t>
            </w:r>
            <w:r>
              <w:rPr>
                <w:rFonts w:ascii="Times New Roman" w:hAnsi="Times New Roman"/>
                <w:b/>
                <w:i/>
                <w:sz w:val="20"/>
              </w:rPr>
              <w:t>Indemnified Person</w:t>
            </w:r>
            <w:r>
              <w:rPr>
                <w:rFonts w:ascii="Times New Roman" w:hAnsi="Times New Roman"/>
                <w:sz w:val="20"/>
              </w:rPr>
              <w:t xml:space="preserve">”)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wilful default or wilful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 Each Shareholder agrees to waive any claim or right of action he or she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wilful default or wilful neglect which may attach to such Director or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Indemnified Person shall be 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acts, receipts, neglects, defaults or omissions of any other Director or Officer or agent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on account of defect of title to any property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account of the insufficiency of any security in or upon which any money of the Company shall be invested;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incurred through any bank, broker or other similar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occasioned by any negligence, default, breach of duty, breach of trust, error of judgement or oversight on such Indemnified Person’s part;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damage or misfortune whatsoever which may happen in or arise from the execution or discharge of the duties, powers, authorities, or discretions of such Indemnified Person’s office or in relation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the same shall happen through such Indemnified Person’s own actual fraud, wilful default or wilful neglect as determined by a court of competent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these Articles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on behalf of the Company, may purchase and maintain insurance for the benefit of any Director or Officer of the Company against any liability which, by virtue of any rule of law, would otherwise attach to such Person in respect of any negligence, default, breach of duty or breach of trust of which such Person may be guilty in relation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to indemnification and advancement of expenses conferred on any Indemnified Person as set out above will not be exclusive of any other rights that any Indemnified Person may have or hereafter acquire pursuant to an agreement with the Company or otherwise.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year of the Company shall end on 31 December of each year or such other date as the Directors may determine.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adopt and alter a Seal. The Seal may be used by causing it or a facsimile thereof to be impressed or affixed or reproduced or otherwise, as may be determined from time to time by the Directors.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NOTICES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may be served by the Company or by the Person entitled to give notice to any Shareholder either personally, or by sending it by post or courier service in a prepaid letter addressed to such Shareholder at his or her address as appearing in the Register, or by electronic mail, or by facsimile should the Directors deem it appropriate. Notice may also be served by electronic communication in accordance with the rules and regulations of the Designated Stock Exchange, the SEC and/or any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competent regulatory authority or by placing it on the Company’s website. In the case of joint holders of a Share, all notices shall be given to that one of the joint holders whose name stands first in the Register in respect of the joint holding, and notice so given shall be sufficient notice to all the joint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Shareholder present, either personally or by proxy, at any meeting of the Company shall for all purposes be deemed to have received due notice of such meeting and, where requisite, of the purposes for which such meeting was convened.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other document, if served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 shall be deemed to have been served five clear days after the time when the letter containing the same is posted;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facsimile, shall be deemed to have been served upon production by the transmitting facsimile machine of a report confirming transmission of the facsimile in full to the facsimile number of the recipient;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courier service, shall be deemed to have been served 48 hours after the time when the letter containing the same is delivered to the courier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mail or other electronic communication (such as transmission to any number, address or internet website (including the website of the SEC) or other electronic delivery methods as otherwise decided and approved by the Directors), shall be deemed to have been served immediately upon the time of the transmission by electronic mail or approved electronic communication, and it shall not be necessary for the receipt of the e-mail to be acknowledged by the recipient;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it on the Company’s website; service of the notice shall be deemed to have been effected one hour after the notice or document was placed on the Company’s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proving service by post or courier service it shall be sufficient to prove that the letter containing the notice or documents was properly addressed and duly posted or delivered to the courier service.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delivered or sent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or her) in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every general meeting of the Company shall be given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Shareholders holding Shares with the right to receive notice and who have supplied to the Company an address for the giving of notices to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Person entitled to a Share in consequence of the death or bankruptcy of a Shareholder, who but for his or her death or bankruptcy would be entitled to receive notice of the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other Person shall be entitled to receive notices of 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OF THE ARTICLES OF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rights attaching to the various Classes, including pursuant to any Certificate of Designation, the Company may at any time and from time to time by Special Resolution alter or amend these Articles in whole or in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ACCOUNTS, AUDIT AND ANNUAL RETURN AND DECLARATION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relating to the Company’s affairs shall be kept in such manner as may be determined from time to time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shall be kept at the Office, or at such other place or places as the Directors think fit, and shall always be open to the inspection of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authorized by the Directors or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accounts relating to the Company’s affairs shall only be audited if the Directors so determine, in which case the financial year end and the accounting principles will be determined by the Directors. The financial year of the Company is set out in Article 121.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Without prejudice to the freedom of the Directors to establish any other committee, if the Shares are listed or quoted on the Designated Stock Exchange, and if required by the Designated Stock Exchange, the Directors shall establish and maintain an audit committee (the “</w:t>
            </w:r>
            <w:r>
              <w:rPr>
                <w:rFonts w:ascii="Times New Roman" w:hAnsi="Times New Roman"/>
                <w:b/>
                <w:i/>
                <w:sz w:val="20"/>
              </w:rPr>
              <w:t>Audit Committee</w:t>
            </w:r>
            <w:r>
              <w:rPr>
                <w:rFonts w:ascii="Times New Roman" w:hAnsi="Times New Roman"/>
                <w:sz w:val="20"/>
              </w:rPr>
              <w:t xml:space="preserve">”) as a committee of the board of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in each year shall prepare, or cause to be prepared, an annual return and declaration setting forth the particulars required by the Companies Act and deliver a copy thereof to the Registrar of Companies in the Cayman Islands.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the liquidator shall apply the assets of the Company in such manner and order as he or she thinks fit in satisfaction of creditors’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and any Certificate of Designation, if the Company shall be wound up, the liquidator may, with the sanction of an Ordinary Resolution divide amongst the holders of Ordinary Shares, in specie or kind the whole or any part of the assets of the Company (whether they shall consist of property of the same kind or not) and may, for such purpose set such value as he or she deems fair upon any property to be divided as aforesaid and may determine how such division shall be carried out as between the holders of Ordinary Shares or different Classes, including, by reference to the rights and restrictions attached to such Shares under these Articles or any Certificate of Designation. The liquidator may, with the like sanction, vest the whole or any part of such assets in trustees upon such trusts for the benefit of the Shareholders as the liquidator, with the like sanction shall think fit, but so that no Shareholder shall be compelled to accept any assets whereon there is any liability.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REGISTRATION BY WAY OF CONTINUATION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137, the Directors may cause an application to be made to the Registrar of Companies to deregister the Company in the Cayman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Islands or such other jurisdiction in which it is for the time being incorporated, registered or existing and may cause all such further steps as they consider appropriate to be taken to effect the transfer by way of continuation of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MERGERS AND CONSOLIDATION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merge or consolidate in accordance with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required by the Companies Act, the Company may by Special Resolution resolve to merge or consolidate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EXCLUSIVE JURISDICTION AND FORUM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Company consents in writing to the selection of an alternative forum, the courts of the Cayman Islands shall have exclusive jurisdiction over any claim or dispute arising out of or in connection with the Memorandum of Association, the Articles or otherwise related in any way to each Shareholder’s shareholding in the Company,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behalf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of breach of any fiduciary or other duty owed by any current or former Director, Officer or other employee of the Company to the Company or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arising pursuant to any provision of the Companies Act, the Memorandum of Association or the Articles;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the Company concerning its internal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Article 143 below, each Shareholder irrevocably submits to the exclusive jurisdiction of the courts of the Cayman Islands over all such claims or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any other rights or remedies that the Company may have, each Shareholder acknowledges that damages alone would not be an adequate remedy for any breach of the exclusive jurisdiction and forum provisions set out above and that accordingly the Company shall be entitled, without proof of special damages, to the remedies of injunction, specific performance or other equitable relief for any threatened or actual breach of those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Articles 140, 141 and 142 shall not apply to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6079_22"/>
      <w:bookmarkEnd w:id="24"/>
      <w:r>
        <w:rPr>
          <w:rFonts w:ascii="Times New Roman" w:hAnsi="Times New Roman"/>
          <w:b/>
          <w:sz w:val="20"/>
        </w:rPr>
        <w:t xml:space="preserve">ANNEX C </w:t>
      </w:r>
    </w:p>
    <w:p>
      <w:pPr>
        <w:pStyle w:val="TextBody"/>
        <w:bidi w:val="0"/>
        <w:spacing w:before="240" w:after="0"/>
        <w:jc w:val="left"/>
        <w:rPr>
          <w:rFonts w:ascii="Times New Roman" w:hAnsi="Times New Roman"/>
          <w:b/>
          <w:sz w:val="20"/>
        </w:rPr>
      </w:pPr>
      <w:r>
        <w:rPr>
          <w:rFonts w:ascii="Times New Roman" w:hAnsi="Times New Roman"/>
          <w:b/>
          <w:sz w:val="20"/>
        </w:rPr>
        <w:t xml:space="preserve">FORM OF CERTIFICATE OF DESIGNATION OF SERIES A NON-VOTING CONVERTIBLE PREFERRED SHARES OF KORSANA BIOSCIENCES, INC. (AS A CAYMAN ISLANDS EXEMPTED COMPANY) </w:t>
      </w:r>
    </w:p>
    <w:p>
      <w:pPr>
        <w:pStyle w:val="TextBody"/>
        <w:bidi w:val="0"/>
        <w:spacing w:before="20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w:t>
      </w:r>
    </w:p>
    <w:p>
      <w:pPr>
        <w:pStyle w:val="TextBody"/>
        <w:bidi w:val="0"/>
        <w:spacing w:before="0" w:after="0"/>
        <w:jc w:val="center"/>
        <w:rPr>
          <w:rFonts w:ascii="Times New Roman" w:hAnsi="Times New Roman"/>
          <w:b/>
          <w:sz w:val="20"/>
        </w:rPr>
      </w:pPr>
      <w:r>
        <w:rPr>
          <w:rFonts w:ascii="Times New Roman" w:hAnsi="Times New Roman"/>
          <w:b/>
          <w:sz w:val="20"/>
        </w:rPr>
        <w:t xml:space="preserve">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CONVERTIBLE PREFERRED SHARES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A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A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TERMS OF SERIES A CONVERTIBLE PREFERRED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Designation, Amount and Par Value of Series A Preferred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Shares shall be designated as “Series A Convertible Preferred Shares” (the “</w:t>
      </w:r>
      <w:r>
        <w:rPr>
          <w:rFonts w:ascii="Times New Roman" w:hAnsi="Times New Roman"/>
          <w:b/>
          <w:sz w:val="20"/>
        </w:rPr>
        <w:t>Series A Preferred Shares</w:t>
      </w:r>
      <w:r>
        <w:rPr>
          <w:rFonts w:ascii="Times New Roman" w:hAnsi="Times New Roman"/>
          <w:sz w:val="20"/>
        </w:rPr>
        <w:t xml:space="preserve">”) and the number of shares constituting the Series A Preferred Shares shall be 500,000. Each Series A Preferred Share shall have a par value of $0.0001 per share. Such number of shares may be increased or decreased by resolution of the Board of Directors; provided, that no decrease shall reduce the number of Series A Preferred Shares to a number less than the number of shares then issued and outstanding plus the number of shares reserved for issuance upon the exercise of outstanding options, rights or warrants or upon the conversion of any outstanding securities issued by the Company convertible into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From and after the date of the issuance of any Series A Preferred Shares (the “</w:t>
      </w:r>
      <w:r>
        <w:rPr>
          <w:rFonts w:ascii="Times New Roman" w:hAnsi="Times New Roman"/>
          <w:b/>
          <w:sz w:val="20"/>
        </w:rPr>
        <w:t>Series A Original Issue Date</w:t>
      </w:r>
      <w:r>
        <w:rPr>
          <w:rFonts w:ascii="Times New Roman" w:hAnsi="Times New Roman"/>
          <w:sz w:val="20"/>
        </w:rPr>
        <w:t xml:space="preserve">”), the holders of Series A Preferred Shares shall be entitled to receive, and the Company shall pay, dividends or distributions on Series A Preferred Shares (on an as-if-converted-to-Ordinary Shares basis, whether or not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then a sufficient number of authorized but unissued Ordinary Shares to effect such conversion) in the same amount and form as dividends or distributions actually paid on Ordinary Shares when, as and if such dividends or distributions are paid on Ordinary Shares. No other dividends or distributions shall be paid on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Dissolution or Winding 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to Holders of Series A Preferred Shares and Ordinary Shares</w:t>
      </w:r>
      <w:r>
        <w:rPr>
          <w:rFonts w:ascii="Times New Roman" w:hAnsi="Times New Roman"/>
          <w:sz w:val="20"/>
        </w:rPr>
        <w:t xml:space="preserve">. In the event of any voluntary or involuntary liquidation, dissolution or winding up of the Company, the holders of the Series A Preferred Shares then issued and outstanding shall be entitled to a payment of $0.01 per share, subject to adjustment as provided below, before any payment is made to the holders of Ordinary Shares, and thereafter the holders of the Series A Preferred Shares then issued and outstanding shall be entitled to be paid out of the remaining assets of the Company available for distribution (on an as-converted-into-Ordinary Shares basis) on a pari passu basis with the holders of Ordinary Shares then issued and outstanding. The Series A Preferred Shares will rank junior to the holders of shares of any other class or series of preferred shares designated to be senior to the Ordinary Shares or the Series A Preferred Shares in the event of any voluntary or involuntary liquidation, dissolution or winding 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The holders of Series A Preferred Shares shall not be entitled to vote on any matter presented to the shareholders of the Company for their action or consideration at any meeting of shareholders of the Company (or by written consent of shareholders in lieu of meeting), except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Optional Conversion</w:t>
      </w:r>
      <w:r>
        <w:rPr>
          <w:rFonts w:ascii="Times New Roman" w:hAnsi="Times New Roman"/>
          <w:sz w:val="20"/>
        </w:rPr>
        <w:t>. The holders of the Series A Preferred Shares shall have conversion rights as follows (the “</w:t>
      </w:r>
      <w:r>
        <w:rPr>
          <w:rFonts w:ascii="Times New Roman" w:hAnsi="Times New Roman"/>
          <w:b/>
          <w:sz w:val="20"/>
        </w:rPr>
        <w:t>Series A 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Conversion Ratio</w:t>
      </w:r>
      <w:r>
        <w:rPr>
          <w:rFonts w:ascii="Times New Roman" w:hAnsi="Times New Roman"/>
          <w:sz w:val="20"/>
        </w:rPr>
        <w:t>. Each Series A Preferred Share shall be convertible, at the option of the holder thereof and without the payment of additional consideration by the holder thereof, into one fully paid and non-assessable Ordinary Share (the “</w:t>
      </w:r>
      <w:r>
        <w:rPr>
          <w:rFonts w:ascii="Times New Roman" w:hAnsi="Times New Roman"/>
          <w:b/>
          <w:sz w:val="20"/>
        </w:rPr>
        <w:t>Series A Conversion Ratio</w:t>
      </w:r>
      <w:r>
        <w:rPr>
          <w:rFonts w:ascii="Times New Roman" w:hAnsi="Times New Roman"/>
          <w:sz w:val="20"/>
        </w:rPr>
        <w:t xml:space="preserve">”). Such initial Series A Conversion Ratio shall be subject to adjustment as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Series A Conversion Rights</w:t>
      </w:r>
      <w:r>
        <w:rPr>
          <w:rFonts w:ascii="Times New Roman" w:hAnsi="Times New Roman"/>
          <w:sz w:val="20"/>
        </w:rPr>
        <w:t xml:space="preserve">. In the event of a liquidation, dissolution or winding up of the Company, the Series A Conversion Rights shall terminate at the close of business on the last full day preceding the date fixed for the payment of any such amounts distributable on such event to the holders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Fractional Shares</w:t>
      </w:r>
      <w:r>
        <w:rPr>
          <w:rFonts w:ascii="Times New Roman" w:hAnsi="Times New Roman"/>
          <w:sz w:val="20"/>
        </w:rPr>
        <w:t xml:space="preserve">. No fractional Ordinary Share shall be issued upon conversion of the Series A Preferred Shares. In lieu of any fractional shares to which the holder would otherwise be entitled, the Company shall pay cash equal to such fraction multiplied by the fair market value of a share of Ordinary Shares as determined in good faith by the Board of Directors of the Company. Whether or not fractional shares would be issuable upon such conversion shall be determined on the basis of the total number of Series A Preferred Shares the holder is at the time converting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Notice of Conversion</w:t>
      </w:r>
      <w:r>
        <w:rPr>
          <w:rFonts w:ascii="Times New Roman" w:hAnsi="Times New Roman"/>
          <w:sz w:val="20"/>
        </w:rPr>
        <w:t xml:space="preserve">. In order for a holder of Series A Preferred Shares to voluntarily convert sham of Series A Preferred Shares into Ordinary Shares, such holder shall, at the office of the transfer agent for the Series A Preferred Shares (or at the principal office of the Company if the Company serves as its own transfer agent with respect to the Series A Preferred Shares), deliver written notice that such holder elects to convert all or any number of Series A Preferred Shares owned by such holder and, if applicable, any event on which such conversion is contingent. Such notice shall state such holder’s name or the names of the nominees in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holder wishes Ordinary Shares to be issued. The close of business on the date of receipt by the transfer agent (or by the Company if the Company serves as its own transfer agent with respect to the Series A Preferred Shares) of such notice shall be the time of conversion (the “</w:t>
      </w:r>
      <w:r>
        <w:rPr>
          <w:rFonts w:ascii="Times New Roman" w:hAnsi="Times New Roman"/>
          <w:b/>
          <w:sz w:val="20"/>
        </w:rPr>
        <w:t>Series A Conversion Time</w:t>
      </w:r>
      <w:r>
        <w:rPr>
          <w:rFonts w:ascii="Times New Roman" w:hAnsi="Times New Roman"/>
          <w:sz w:val="20"/>
        </w:rPr>
        <w:t xml:space="preserve">”), and the Ordinary Shares issuable upon such conversion shall be deemed to be issued and outstanding of record as of such date. The Company shall, as soon as practicable after the Series A Conversion Time (but not more than two days thereafter), (i) issue and deliver to such holder of Series A Preferred Shares, or to his, her or its nominees, book entry for the number of full Ordinary Shares issuable upon such conversion in accordance with the provisions hereof, (ii) pay in cash such amount as provided in </w:t>
      </w:r>
      <w:r>
        <w:rPr>
          <w:rFonts w:ascii="Times New Roman" w:hAnsi="Times New Roman"/>
          <w:sz w:val="20"/>
          <w:u w:val="single"/>
        </w:rPr>
        <w:t>Section 4(b)</w:t>
      </w:r>
      <w:r>
        <w:rPr>
          <w:rFonts w:ascii="Times New Roman" w:hAnsi="Times New Roman"/>
          <w:sz w:val="20"/>
        </w:rPr>
        <w:t xml:space="preserve"> in lieu of any fraction of a share of Ordinary Shares otherwise issuable upon such conversion and (iii) pay all declared but unpaid dividends on the Series A Preferred Shares converted.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Reservation of Shares</w:t>
      </w:r>
      <w:r>
        <w:rPr>
          <w:rFonts w:ascii="Times New Roman" w:hAnsi="Times New Roman"/>
          <w:sz w:val="20"/>
        </w:rPr>
        <w:t xml:space="preserve">. The Company shall at all times when the Series A Preferred Shares shall be issued and outstanding, reserve and keep available out of its authorized but unissued share capital, for the purpose of effecting the conversion of the Series A Preferred Shares, such number of its duly authorized Ordinary Shares as shall from time to time be sufficient to effect the conversion of all the issued and outstanding Series A Preferred Shares; and if at any time the number of authorized but unissued Common Shares shall not be sufficient to effect the conversion of all the then issued and outstanding Series A Preferred Shares, the Company shall take such corporate action as may be necessary to increase its authorized but unissued Ordinary Shares to such number of shares as shall be sufficient for such purposes, including, without limitation, engaging in best efforts to obtain the requisite shareholder approval of any necessary amendment to the Articles.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Effect of Conversion</w:t>
      </w:r>
      <w:r>
        <w:rPr>
          <w:rFonts w:ascii="Times New Roman" w:hAnsi="Times New Roman"/>
          <w:sz w:val="20"/>
        </w:rPr>
        <w:t xml:space="preserve">. All Series A Preferred Shares which shall have been surrendered for conversion as herein provided shall no longer be deemed to be issued and outstanding and all rights with respect to such shares shall immediately cease and terminate at the Series A Conversion Time, except only the right of the holders thereof to receive Ordinary Shares in exchange therefor, to receive payment in lieu of any fraction of a share otherwise issuable upon such conversion as provided in </w:t>
      </w:r>
      <w:r>
        <w:rPr>
          <w:rFonts w:ascii="Times New Roman" w:hAnsi="Times New Roman"/>
          <w:sz w:val="20"/>
          <w:u w:val="single"/>
        </w:rPr>
        <w:t>Section 4(b)</w:t>
      </w:r>
      <w:r>
        <w:rPr>
          <w:rFonts w:ascii="Times New Roman" w:hAnsi="Times New Roman"/>
          <w:sz w:val="20"/>
        </w:rPr>
        <w:t xml:space="preserve"> and to receive payment of any dividends declared but unpaid on the Series A Preferred Shares so converted. Any Series A Preferred Shares so converted shall be retired and cancelled and may not be reissued as shares of such series, and the Company may thereafter take such appropriate action (without the need for shareholder action) as may be necessary to reduce the authorized number of Series A Preferred Shares accordingly.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Taxes</w:t>
      </w:r>
      <w:r>
        <w:rPr>
          <w:rFonts w:ascii="Times New Roman" w:hAnsi="Times New Roman"/>
          <w:sz w:val="20"/>
        </w:rPr>
        <w:t xml:space="preserve">. The Company shall pay any and all issue and other similar taxes that may be payable in respect of any issuance or delivery of Ordinary Shares upon conversion of Series A Preferred Shares pursuant to this </w:t>
      </w:r>
      <w:r>
        <w:rPr>
          <w:rFonts w:ascii="Times New Roman" w:hAnsi="Times New Roman"/>
          <w:sz w:val="20"/>
          <w:u w:val="single"/>
        </w:rPr>
        <w:t>Section 4</w:t>
      </w:r>
      <w:r>
        <w:rPr>
          <w:rFonts w:ascii="Times New Roman" w:hAnsi="Times New Roman"/>
          <w:sz w:val="20"/>
        </w:rPr>
        <w:t xml:space="preserve">. The Company shall not, however, be required to pay any tax which may be payable in respect of any transfer involved in the issuance and delivery of Ordinary Shares in a name other than that in which the Series A Preferred Shares so convened were registered, and no such issuance or delivery shall be made unless and until the person or entity requesting such issuance has paid to the Company the amount of any such tax or has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 xml:space="preserve">Adjustment for Share Splits and Combinations. </w:t>
      </w:r>
      <w:r>
        <w:rPr>
          <w:rFonts w:ascii="Times New Roman" w:hAnsi="Times New Roman"/>
          <w:sz w:val="20"/>
        </w:rPr>
        <w:t xml:space="preserve">If the Company shall at any time or from time to time after the Series A Original Issue Date effect a subdivision of the issued and outstanding Ordinary Shares, the Series A Conversion Ratio in effect immediately before that subdivision shall be proportionately adjusted so that the number of Ordinary Shares issuable on conversion of each share of such series shall be increased in proportion to such increase in the aggregate number of Ordinary Shares issued and outstanding. If the Company shall at any time or from time to time after the Series A Original Issue Date combine the issued and outstanding Ordinary Shares, the Series A Conversion Ratio in effect immediately before the combination shall be proportionately adjusted so that the number of Ordinary Shares issuable on conversion of each share of such series shall be decreased in proportion to such decrease in the aggregate number of Ordinary Shares issued and outstanding. Any adjustment under this subsection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Adjustment for Certain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holders of Ordinary Shares entitled to receive, a dividend or other distribution payable on the Ordinary Shares in additional Ordinary Shares, then and in each such event the Series A Conversion Ratio in effect immediately before such event shall be adjusted as of the time of such issuance or, in the event such a record date shall have been fixed, as of the close of business on such record date, by multiplying the number of Ordinary Shares into which the Series A Preferred Shares may be converted, as then in effect, by a fraction: </w:t>
      </w:r>
    </w:p>
    <w:p>
      <w:pPr>
        <w:pStyle w:val="TextBody"/>
        <w:bidi w:val="0"/>
        <w:spacing w:before="120" w:after="0"/>
        <w:jc w:val="left"/>
        <w:rPr>
          <w:rFonts w:ascii="Times New Roman" w:hAnsi="Times New Roman"/>
          <w:sz w:val="20"/>
        </w:rPr>
      </w:pPr>
      <w:r>
        <w:rPr>
          <w:rFonts w:ascii="Times New Roman" w:hAnsi="Times New Roman"/>
          <w:sz w:val="20"/>
        </w:rPr>
        <w:t xml:space="preserve">(1) the numerator of which shall be the total number of Ordinary Shares issued and outstanding immediately prior to the time of such issuance or the close of business on such record date plus the number of Ordinary Shares issuable in payment of such dividend or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Ordinary Shares issued and outstanding immediately prior to the time of such issuance or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Series A Conversion Ratio shall be recomputed accordingly as of the close of business on such record date and thereafter the Series A Conversion Ratio shall be adjusted pursuant to this subsection as of the time of actual payment of such dividends or distributions; and (b) that no such adjustment shall be made if the holders of Series A Preferred Shares simultaneously receive a dividend or other distribution of Ordinary Shares in a number equal to the number of Ordinary Shares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Adjustments for Other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of holders of Ordinary Shares entitled to receive, a dividend or other distribution payable in securities of the Company (other than a distribution of Ordinary Shares in respect of issued and outstanding Ordinary Shares)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Series A Preferred Shares shall receive, simultaneously with the distribution to the holders of Ordinary Shares, a dividend or other distribution of such securities or other property in an amount equal to the amount of such securities or other property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 for Merger or Reorganization, etc</w:t>
      </w:r>
      <w:r>
        <w:rPr>
          <w:rFonts w:ascii="Times New Roman" w:hAnsi="Times New Roman"/>
          <w:sz w:val="20"/>
        </w:rPr>
        <w:t xml:space="preserve">. If there shall occur any reorganization, recapitalization, reclassification, consolidation or merger involving the Company in which the Ordinary Shares (but not the Series A Preferred Shares) is converted into or exchanged for securities, cash or other property, then, following any such reorganization, recapitalization, reclassification, consolidation or merger, each share of Series A Preferred Shares shall thereafter be convertible in lieu of the Ordinary Shares into which it was convertible prior to such event into the kind and amount of securities, cash or other property which a holder of the number of Ordinary Shares of the Company issuable upon conversion of one share of Series A Preferred Shares immediately prior to such reorganization, recapitalization, reclassification, consolidation or merger would have been entitled to receive pursuant to such transaction; and, in such case, appropriate adjustment (as determined in good faith by the Board of Directors of the Company)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Series A Preferred Shares,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Series A Conversion Ratio) shall thereafter be applicable, as nearly as reasonably may be, in relation to any securities or other property thereafter deliverable upon the conversion of the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Certificate as to Adjustments</w:t>
      </w:r>
      <w:r>
        <w:rPr>
          <w:rFonts w:ascii="Times New Roman" w:hAnsi="Times New Roman"/>
          <w:sz w:val="20"/>
        </w:rPr>
        <w:t xml:space="preserve">. Upon the occurrence of each adjustment or readjustment of the Series A Conversion Ratio pursuant to this </w:t>
      </w:r>
      <w:r>
        <w:rPr>
          <w:rFonts w:ascii="Times New Roman" w:hAnsi="Times New Roman"/>
          <w:sz w:val="20"/>
          <w:u w:val="single"/>
        </w:rPr>
        <w:t>Section 4</w:t>
      </w:r>
      <w:r>
        <w:rPr>
          <w:rFonts w:ascii="Times New Roman" w:hAnsi="Times New Roman"/>
          <w:sz w:val="20"/>
        </w:rPr>
        <w:t xml:space="preserve">, the Company at its expense shall, as promptly as reasonably practicable but in any event not later than ten (10) days thereafter, compute such adjustment or readjustment in accordance with the terms hereof and furnish to each holder of Series A Preferred Shares a certificate setting forth such adjustment or readjustment (including the kind and amount of securities, cash or other property into which the Series A Preferred Shares is convertible) and showing in detail the facts upon which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readjustment is based. The Company shall, as promptly as reasonably practicable after the written request at any time of any holder of Series A Preferred Shares (but in any event not later than ten (10) days thereafter), furnish or cause to be furnished to such holder a certificate setting forth (i) the Series A Conversion Ratio then in effect, and (ii) the number of Ordinary Shares and the amount, if any, of other securities, cash or property which then would be received upon the conversion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take a record of the holders of its Ordinary Shares (or other shares or securities at the time issuable upon conversion of the Series A Preferred Shares) for the purpose of entitling or enabling them to receive any dividend or other distribution, or to receive any right to subscribe for or purchase any shares of any class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(2) of any capital reorganization of the Company, any reclassification of the Ordinary Shares of the Company, or any recapitalization, consolidation or merger involving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(3) of the voluntary or involuntary dissolution, liquidation or winding-up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Company will send or cause to be sent to the holders of the Series A Preferred Shares a notice specifying, as the case may be, (i) the record date for such dividend, distribution or right, and the amount and manner of payment of such dividend, distribution or right, or (ii) the effective date on which such reorganization, reclassification, consolidation, merger, transfer, dissolution, liquidation or winding-up is proposed to take place, and the time, if any is to be fixed, as of which the holders of record of Ordinary Shares (or such other shares or securities at the time issuable upon the conversion of the Series A Preferred Shares) shall be entitled to exchange their Ordinary Shares (or such other shares or securities) for securities or other property deliverable upon such reorganization, reclassification, consolidation, merger, transfer, dissolution, liquidation or winding-up, and the amount per share and character of such exchange applicable to the Series A Preferred Shares and the Ordinary Shares. Such notice shall be sent at least ten (10) days prior to the record date or effective date for the event specified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Acquired Shares</w:t>
      </w:r>
      <w:r>
        <w:rPr>
          <w:rFonts w:ascii="Times New Roman" w:hAnsi="Times New Roman"/>
          <w:sz w:val="20"/>
        </w:rPr>
        <w:t xml:space="preserve">. Any Series A Preferred Shares that are acquired by the Company or any of its subsidiaries shall be automatically and immediately cancelled and retired and shall not be reissued, sold or transferred. Neither the Company nor any of its subsidiaries may exercise any voting or other rights granted to the holders of Series A Preferred Shares following redemption.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Waiver</w:t>
      </w:r>
      <w:r>
        <w:rPr>
          <w:rFonts w:ascii="Times New Roman" w:hAnsi="Times New Roman"/>
          <w:sz w:val="20"/>
        </w:rPr>
        <w:t xml:space="preserve">. Any of the rights, powers, preferences and other terms of the Series A Preferred Shares set forth herein may be waived on behalf of all holders of Series A Preferred Shares by the affirmative written consent or vote of the holders of at least a majority of the Series A Preferred Shares then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Notices.</w:t>
      </w:r>
      <w:r>
        <w:rPr>
          <w:rFonts w:ascii="Times New Roman" w:hAnsi="Times New Roman"/>
          <w:sz w:val="20"/>
        </w:rPr>
        <w:t xml:space="preserve"> Any notice required or permitted by the provisions of hereof to be given to a holder of Series A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 xml:space="preserve">Korsana Biosciences, Inc. </w:t>
      </w:r>
      <w:r>
        <w:rPr>
          <w:rFonts w:ascii="Times New Roman" w:hAnsi="Times New Roman"/>
          <w:sz w:val="20"/>
        </w:rPr>
        <w:t xml:space="preserve">has caused this Certificate of Designation of Preferences, Rights and Limitations of Series A Convertible Shares to be duly executed on its behalf by a director of the Company 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36"/>
        <w:gridCol w:w="105"/>
        <w:gridCol w:w="2841"/>
      </w:tblGrid>
      <w:tr>
        <w:trPr/>
        <w:tc>
          <w:tcPr>
            <w:tcW w:w="113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1136" w:type="dxa"/>
            <w:tcBorders/>
            <w:vAlign w:val="center"/>
          </w:tcPr>
          <w:p>
            <w:pPr>
              <w:pStyle w:val="TableContents"/>
              <w:bidi w:val="0"/>
              <w:spacing w:before="0" w:after="283"/>
              <w:jc w:val="left"/>
              <w:rPr>
                <w:sz w:val="4"/>
                <w:szCs w:val="4"/>
              </w:rPr>
            </w:pPr>
            <w:r>
              <w:rPr>
                <w:sz w:val="4"/>
                <w:szCs w:val="4"/>
              </w:rPr>
            </w:r>
          </w:p>
        </w:tc>
        <w:tc>
          <w:tcPr>
            <w:tcW w:w="2946"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Name: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Title: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6079_23"/>
      <w:bookmarkEnd w:id="25"/>
      <w:r>
        <w:rPr>
          <w:rFonts w:ascii="Times New Roman" w:hAnsi="Times New Roman"/>
          <w:b/>
          <w:sz w:val="20"/>
        </w:rPr>
        <w:t xml:space="preserve">ANNEX D </w:t>
      </w:r>
    </w:p>
    <w:p>
      <w:pPr>
        <w:pStyle w:val="TextBody"/>
        <w:bidi w:val="0"/>
        <w:spacing w:before="240" w:after="0"/>
        <w:jc w:val="left"/>
        <w:rPr>
          <w:rFonts w:ascii="Times New Roman" w:hAnsi="Times New Roman"/>
          <w:b/>
          <w:sz w:val="20"/>
        </w:rPr>
      </w:pPr>
      <w:r>
        <w:rPr>
          <w:rFonts w:ascii="Times New Roman" w:hAnsi="Times New Roman"/>
          <w:b/>
          <w:sz w:val="20"/>
        </w:rPr>
        <w:t xml:space="preserve">FORM OF CERTIFICATE OF DESIGNATION OF SERIES B NON-VOTING CONVERTIBLE PREFERRED SHARES OF KORSANA BIOSCIENCES, INC. (AS A CAYMAN ISLANDS EXEMPTED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SERIES B CONVERTIBLE PREFERRED SHARE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B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sz w:val="20"/>
        </w:rPr>
        <w:t>WHEREAS: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RESOLVED: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B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 particular date on any of the foregoing bases, the Closing Sale Price of such security on such date shall be the fair market value as determined in good faith by the Board of Directors of the Company.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Ordinary Shares issuable upon conversion of the Series B Non-Voting Preferred Shares in accordance with the terms hereof.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holder of Series B Non-Voting Preferred Shares. </w:t>
      </w:r>
    </w:p>
    <w:p>
      <w:pPr>
        <w:pStyle w:val="TextBody"/>
        <w:bidi w:val="0"/>
        <w:spacing w:before="240" w:after="0"/>
        <w:jc w:val="left"/>
        <w:rPr/>
      </w:pPr>
      <w:r>
        <w:rPr/>
        <w:t>“</w:t>
      </w:r>
      <w:r>
        <w:rPr>
          <w:rFonts w:ascii="Times New Roman" w:hAnsi="Times New Roman"/>
          <w:b/>
          <w:i/>
          <w:sz w:val="20"/>
        </w:rPr>
        <w:t>Ordinary Shares</w:t>
      </w:r>
      <w:r>
        <w:rPr>
          <w:rFonts w:ascii="Times New Roman" w:hAnsi="Times New Roman"/>
          <w:sz w:val="20"/>
        </w:rPr>
        <w:t xml:space="preserve">” means the Company’s ordinary shares of $0.0001 par value, and any other class of shares into which such securities may hereafter be reclassified or changed.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Shares shall be designated as the Company’s Series B Non-Voting Convertible Preferred Shares (the “</w:t>
      </w:r>
      <w:r>
        <w:rPr>
          <w:rFonts w:ascii="Times New Roman" w:hAnsi="Times New Roman"/>
          <w:b/>
          <w:i/>
          <w:sz w:val="20"/>
        </w:rPr>
        <w:t>Series B Non-Voting Preferred Shares</w:t>
      </w:r>
      <w:r>
        <w:rPr>
          <w:rFonts w:ascii="Times New Roman" w:hAnsi="Times New Roman"/>
          <w:sz w:val="20"/>
        </w:rPr>
        <w:t xml:space="preserve">”) and the number of shares so designated shall be [  ]. Each Series B Non-Voting Preferred Share shall have a par value of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Company shall pay, dividends on the Series B Non-Voting Preferred Shares (on an as-if-converted-to-Ordinary-Share basis, without regard to the Beneficial Ownership Limitation (as defined below)) equal to and in the same form, and in the same manner, as dividends (other than dividends on Ordinary Shares payable in the form of Ordinary Shares) actually paid on Ordinary Shares when, as and if such dividends (other than dividends payable in the form of Ordinary Shares) are paid on Ordinary Shares. Other than as set forth in the previous sentence, no other dividends shall be paid on Series B Non-Voting Preferred Shares and the Company shall pay no dividends (other than dividends payable in the form of Ordinary Shares) on Ordinary Shares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Except as otherwise provided herein or as otherwise required by the Companies Act (as amended) of the Cayman Islands, the Series B Non-Voting Preferred Shares shall have no voting rights. However, as long as any Series B Non-Voting Preferred Shares are issued and outstanding, the Company shall not, without the affirmative vote of the holders of a majority of the then issued and outstanding Series B Non-Voting Preferred Shares: (i) alter or change adversely the powers, preferences or rights given to the Series B Non-Voting Preferred Shares or alter or amend the rights, powers, preferences and other terms of the Preferred Shares set forth herein (this “</w:t>
      </w:r>
      <w:r>
        <w:rPr>
          <w:rFonts w:ascii="Times New Roman" w:hAnsi="Times New Roman"/>
          <w:b/>
          <w:i/>
          <w:sz w:val="20"/>
        </w:rPr>
        <w:t>Description of Rights</w:t>
      </w:r>
      <w:r>
        <w:rPr>
          <w:rFonts w:ascii="Times New Roman" w:hAnsi="Times New Roman"/>
          <w:sz w:val="20"/>
        </w:rPr>
        <w:t xml:space="preserve">”), amend or repeal any provision of, or add any provision to, the Articles (including this Description of Rights), or file any articles of amendment, descriptions of rights, preferences, limitations and relative rights of any series of Preferred Shares, if such action would adversely alter or change the preferences, rights, privileges or powers of, or restrictions provided for the benefit of the Series B Non-Voting Preferred Shares, regardless of whether any of the foregoing actions shall be by means of amendment to the Articles or by merger, consolidation, recapitalization, reclassification, conversion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issue further Series B Non-Voting Preferred Shares or increase or decrease (other than by conversion) the number of authorized Series B Non-Voting Preferred Shares, (iii) at any time while at least 30% of the originally issued Series B Non-Voting Preferred Shares remains issued and outstanding, (A) consummate (I) any Fundamental Transaction (as defined below) or (II) any merger or consolidation of the Company with or into another entity or any share sale to, or other business combination in which the shareholders of the Company immediately before such transaction do not hold at least a majority of the shares in the capital of the Company immediately after such transaction, (B) increase the size of the Board of Directors of the Company, (C) adopt, amend or repeal any written delegation of authority policy, corporate authority matrix or similar document, framework or schedule unless such adoption, amendment or repeal has been approved by the unanimous vote of the Board of Directors of the Company or (D) retain or replace the Company’s registered independent public accounting firm, independent compensation consultant or corporate counsel or (iv) enter into any agreement with respect to any of the foregoing. Holders of Ordinary Shares acquired upon the conversion of Series B Non-Voting Preferred Shares shall be entitled to the same voting rights as each other holder of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or any other Section of this Certificate of Designation may be taken at a meeting of the Holders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At all times when at least 30% of the originally issued Series B Non-Voting Preferred Shares remains issued and outstanding, (i) the holders of record of the Series B Non-Voting Preferred Shares, exclusively and voting together as a separate class on an as-converted to Ordinary Shares basis, shall be entitled to elect four directors of the Company (the “</w:t>
      </w:r>
      <w:r>
        <w:rPr>
          <w:rFonts w:ascii="Times New Roman" w:hAnsi="Times New Roman"/>
          <w:b/>
          <w:i/>
          <w:sz w:val="20"/>
        </w:rPr>
        <w:t>Preferred Directors</w:t>
      </w:r>
      <w:r>
        <w:rPr>
          <w:rFonts w:ascii="Times New Roman" w:hAnsi="Times New Roman"/>
          <w:sz w:val="20"/>
        </w:rPr>
        <w:t>”); and (iii) the holders of record of the Ordinary Shares and of any other class or series of voting share (including the Series B Non-Voting Preferred Shares), exclusively and voting together as a single class on an as-converted to Ordinary Shares basis, shall be entitled to elect the balance of the total number of directors of the Company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Shares without a separate action by the holders of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Series B Non-Voting Preferred Shares, given either at a meeting of the Holders duly called for that purpose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the Series B Non-Voting Preferred Shares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Shares fill such directorship in accordance with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issued and outstanding Series B Non-Voting Preferred Shares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5.1 The Series B Non-Voting Preferred Shares shall rank on parity with the Ordinary Shares, the Company’s Series A Convertible Preferred Shares as to distributions of assets upon liquidation, winding up or subsequent dissolution of the Company, whether voluntarily or involuntarily. </w:t>
      </w:r>
    </w:p>
    <w:p>
      <w:pPr>
        <w:pStyle w:val="TextBody"/>
        <w:bidi w:val="0"/>
        <w:spacing w:before="240" w:after="0"/>
        <w:jc w:val="left"/>
        <w:rPr>
          <w:rFonts w:ascii="Times New Roman" w:hAnsi="Times New Roman"/>
          <w:sz w:val="20"/>
        </w:rPr>
      </w:pPr>
      <w:r>
        <w:rPr>
          <w:rFonts w:ascii="Times New Roman" w:hAnsi="Times New Roman"/>
          <w:sz w:val="20"/>
        </w:rPr>
        <w:t>5.2 Upon any liquidation, winding-up or subsequent dissolution of the Company,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Company the same amount that a holder of Ordinary Shares would receive if the Series B Non-Voting Preferred Shares were fully converted (disregarding for such purpose any Beneficial Ownership Limitations) to Ordinary Shares which amounts shall be paid </w:t>
      </w:r>
      <w:r>
        <w:rPr>
          <w:rFonts w:ascii="Times New Roman" w:hAnsi="Times New Roman"/>
          <w:i/>
          <w:sz w:val="20"/>
        </w:rPr>
        <w:t>pari passu</w:t>
      </w:r>
      <w:r>
        <w:rPr>
          <w:rFonts w:ascii="Times New Roman" w:hAnsi="Times New Roman"/>
          <w:sz w:val="20"/>
        </w:rPr>
        <w:t xml:space="preserve"> with all holders of Ordinary Shares, plus an additional amount equal to any dividends declared on but unpaid to such shares. If, upon any such Liquidation, the assets of the Company shall be insufficient to pay the Holders of the Series B Non-Voting Preferred Shares the amount required under the preceding sentence, then all remaining assets of the Company shall be distributed ratably to the Holders and the holders of Ordinary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Series B Non-Voting Preferred Share then issued and outstanding shall be convertible, at any time and from time to time, at the option of the Holder thereof, into a number of Ordinary Shares equal to the Conversion Ratio, subject to the Beneficial Ownership Limitation (each, an “</w:t>
      </w:r>
      <w:r>
        <w:rPr>
          <w:rFonts w:ascii="Times New Roman" w:hAnsi="Times New Roman"/>
          <w:b/>
          <w:i/>
          <w:sz w:val="20"/>
        </w:rPr>
        <w:t>Optional Conversion</w:t>
      </w:r>
      <w:r>
        <w:rPr>
          <w:rFonts w:ascii="Times New Roman" w:hAnsi="Times New Roman"/>
          <w:sz w:val="20"/>
        </w:rPr>
        <w:t xml:space="preserve">”). Holders shall effect conversions by providing the Company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 duly completed and executed. Provided the Company’s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Conversion Date</w:t>
      </w:r>
      <w:r>
        <w:rPr>
          <w:rFonts w:ascii="Times New Roman" w:hAnsi="Times New Roman"/>
          <w:sz w:val="20"/>
        </w:rPr>
        <w:t xml:space="preserve">”) shall be the Trading Day that the Notice of Conversion, completed and executed, is sent via email to, and received during regular business hours by, the Company; provided, that the original certificate(s) (if any) representing such Series B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B Non-Voting Preferred Shares being converted, duly endorsed, and the accompanying Notice of Conversion, are received by the Company.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Series B Non-Voting Preferred Shares shall be 1,000 Ordinary Shares issuable upon the conversion (the “</w:t>
      </w:r>
      <w:r>
        <w:rPr>
          <w:rFonts w:ascii="Times New Roman" w:hAnsi="Times New Roman"/>
          <w:b/>
          <w:i/>
          <w:sz w:val="20"/>
        </w:rPr>
        <w:t>Conversion</w:t>
      </w:r>
      <w:r>
        <w:rPr>
          <w:rFonts w:ascii="Times New Roman" w:hAnsi="Times New Roman"/>
          <w:sz w:val="20"/>
        </w:rPr>
        <w:t xml:space="preserve">”) of each Series B Non-Voting Preferred Share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Company shall not effect any conversion of any Series B Non-Voting Preferred Share, and a Holder shall not have the right to convert any portion of the Series B Non-Voting Preferred Shares pursuant to </w:t>
      </w:r>
      <w:r>
        <w:rPr>
          <w:rFonts w:ascii="Times New Roman" w:hAnsi="Times New Roman"/>
          <w:sz w:val="20"/>
          <w:u w:val="single"/>
        </w:rPr>
        <w:t>Section 6.2</w:t>
      </w:r>
      <w:r>
        <w:rPr>
          <w:rFonts w:ascii="Times New Roman" w:hAnsi="Times New Roman"/>
          <w:sz w:val="20"/>
        </w:rPr>
        <w:t xml:space="preserve">, to the extent that, after giving effect to such attempted conversion set forth on an applicable Notice of Conversion (as defined in this Description of Rights) with respect to the Series B Preferred Share, such Holder (or any of such Holder’s Affiliates or any other Person who would be a beneficial owner of Ordinary Shares beneficially owned by the Holder for purposes of Section 13(d) or Section 16 of the Exchange Act and the applicable rules and regulations of the Commission, including any “group” of which the Holder is a member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Attribution Parties</w:t>
      </w:r>
      <w:r>
        <w:rPr>
          <w:rFonts w:ascii="Times New Roman" w:hAnsi="Times New Roman"/>
          <w:sz w:val="20"/>
        </w:rPr>
        <w:t xml:space="preserve">”)) would beneficially own a number of Ordinary Shares in excess of the Beneficial Ownership Limitation. For purposes of the foregoing sentence, the aggregate number of Ordinary Shares beneficially owned by such Holder and its Attribution Parties shall include the number of Ordinary Shares issuable upon conversion of the Series B Non-Voting Preferred Shares subject to the Notice of Conversion, with respect to which such determination is being made, but shall exclude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issued and outstanding Ordinary Shares, a Holder may rely on the number of authorized but issued and outstanding Ordinary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Ordinary Shares authorized but then issued and outstanding. Upon the written request of a Holder (which may be by email), the Company shall, within two (2) Trading Days thereof, confirm in writing to such Holder (which may be via email) the number of Ordinary Shares authorized but then issued and outstanding. In any case, the number of issued and outstanding Ordinary Shares shall be determined after giving effect to any actual conversion or exercise of securities of the Company, including Series B Non-Voting Preferred Shares, by such Holder or its Attribution Parties since the date as of which such number of issued and outstanding Ordinary Shares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the discretion of each Holder to a percentage designated by such Holder on its signature page to the Purchase Agreement or otherwise between 0% and 19.99% of the number of Ordinary Shares issued and outstanding or deemed to be outstanding as of the applicable measurement date, and such percentage shall be set at 19.99% for any Holder that does not make such designation in the Purchase Agreement or otherwise. The Company shall be entitled to rely on representations made to it by the Holder in any Notice of Conversion regarding its Beneficial Ownership Limitation. Notwithstanding the foregoing, by written notice to the Company (email being sufficient), (i) the Holder may reset the Beneficial Ownership Limitation percentage to a higher percentage, not to exceed 19.99%, which increase will not be effective until the sixty-first (61st) day after such written notice is delivered to the Company,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and (y) at any time that the beneficial ownership of Ordinary Shares (together with any of such Holder’s Attribution Parties) is equal to or less than 9.00% of the number of Ordinary Shares issued and outstanding as of any given date, then such Holder’s Beneficial Ownership Limitation shall automatically be set to 9.99%. The provisions of this </w:t>
      </w:r>
      <w:r>
        <w:rPr>
          <w:rFonts w:ascii="Times New Roman" w:hAnsi="Times New Roman"/>
          <w:sz w:val="20"/>
          <w:u w:val="single"/>
        </w:rPr>
        <w:t xml:space="preserve">Section 6.4 </w:t>
      </w:r>
      <w:r>
        <w:rPr>
          <w:rFonts w:ascii="Times New Roman" w:hAnsi="Times New Roman"/>
          <w:sz w:val="20"/>
        </w:rPr>
        <w:t xml:space="preserve">shall be construed, corrected and implemented in a manner so as to effectuate the intended Beneficial Ownership Limitation herein contained and the Ordinary Shares underlying the Securities in excess of the Beneficial Ownership Limitation shall not be deemed to be beneficially owned by the Purchaser for any purpose including for purposes of Section 13(d) or Rule 16a-1(a)(1)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Company of the original certificate(s) representing such Series B Non-Voting Preferred Shares being converted, duly endorsed, and the accompanying Notice of Conversion (the “</w:t>
      </w:r>
      <w:r>
        <w:rPr>
          <w:rFonts w:ascii="Times New Roman" w:hAnsi="Times New Roman"/>
          <w:b/>
          <w:i/>
          <w:sz w:val="20"/>
        </w:rPr>
        <w:t>Share Delivery Date</w:t>
      </w:r>
      <w:r>
        <w:rPr>
          <w:rFonts w:ascii="Times New Roman" w:hAnsi="Times New Roman"/>
          <w:sz w:val="20"/>
        </w:rPr>
        <w:t xml:space="preserve">”), the Company shall either: (a) deliver, or cause to be delivered, to the converting Holder a physical certificate or certificates representing the number of Conversion Shares being acquired upon the conversion of Series B Non-Voting Preferred Shares,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B Non-Voting Preferred Share certificate delivered to the Company and such Holder shall promptly return to the Company any share certificates or otherwise direct the return of any Ordinary Shares delivered to the Holder through the DWAC system, representing the Series B Non-Voting Preferred Shares unsuccessfully tendered for conversion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Company’s obligation to issue and deliver the Conversion Shares upon conversion of Series B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Shares of such Holder shall have been sought and obtained by the Company, and the Company posts a surety bond for the benefit of such Holder in the amount of 150% of the value of the Conversion Shares into which would be converted the Series B Non-Voting Preferred Shares which is subject to such injunction, which bond shall remain in effect until the completion of arbitration/litigation of the underlying dispute and the proceeds of which shall be payable to such Holder to the extent it obtains judgment. In the absence of such injunction, the Company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xml:space="preserve">. If, at any time after the initial issuance of the Series B Non-Voting Preferred Share, the Company fails to deliver to a Holder such certificate or certificates, or electronically deliver (or instruct its transfer agent to electronically deliver) such shares in the case of a DWAC Delivery, pursuant to </w:t>
      </w:r>
      <w:r>
        <w:rPr>
          <w:rFonts w:ascii="Times New Roman" w:hAnsi="Times New Roman"/>
          <w:sz w:val="20"/>
          <w:u w:val="single"/>
        </w:rPr>
        <w:t>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Company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Company shall, at the request of the Holder, pay an amount equal to the Fair Value (as defined below) of such undelivered shares, with such payment to be made within two Business Days from the date of request by the Holder, whereupon the Company’s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fixed with reference to the last reported Closing Sale Price on the principal Trading Market on which the Ordinary Shares are listed as of the Trading Day immediately prior to the date on which the Notice of Conversion is delivered to the Company.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Company’s failure to timely deliver Conversion Shares (other than a failure caused by (i) materially incorrect or incomplete information provided by Holder to the Company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24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Company fails to deliver to a Holder the applicable certificate or certificates or to effect a DWAC Delivery, as applicable, by the Share Delivery Date pursuant to </w:t>
      </w:r>
      <w:r>
        <w:rPr>
          <w:rFonts w:ascii="Times New Roman" w:hAnsi="Times New Roman"/>
          <w:sz w:val="20"/>
          <w:u w:val="single"/>
        </w:rPr>
        <w:t>Section 6.5.1</w:t>
      </w:r>
      <w:r>
        <w:rPr>
          <w:rFonts w:ascii="Times New Roman" w:hAnsi="Times New Roman"/>
          <w:sz w:val="20"/>
        </w:rPr>
        <w:t xml:space="preserve"> (other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Ordinary Shares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Company shall (A) pay in cash to such Holder (in addition to any other remedies available to or elected by such Holder) the amount by which (x) such Holder’s total purchase price (including any brokerage commissions) for the Ordinary Shares so purchased exceeds (y) the product of (1) the aggregate number of Ordinary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B Non-Voting Preferred Shares equal to the number of Series B Non-Voting Preferred Shares submitted for conversion or deliver to such Holder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Ordinary Shares having a total purchase price of $11,000 to cover a Buy-In with respect to an attempted conversion of Series B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Ordinary Shares upon conversion of Series B Non-Voting Preferred Shares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Series B Non-Voting Preferred Shares submitted for conversion for which such conversion was not timely honored and (ii) receive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Company covenants that at all times it will reserve and keep available out of its authorized and unissued shares Ordinary Shares for the sole purpose of issuance upon conversion of the Series B Non-Voting Preferred Shares, free from preemptive rights or any other actual contingent purchase rights of Persons other than the Holders of the Series B Non-Voting Preferred Shares, not less than such aggregate number of Ordinary Shares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issued and outstanding Series B Non-Voting Preferred Shares. The Company covenants that all Ordinary Shares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Ordinary Shares shall be issued upon conversion of the Series B Non-Voting Preferred Shares, no certificates or scrip for any such fractional shares shall be issued and no cash shall be paid for any such fractional shares. Any fractional Ordinary Shares that a Holder of Series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Non-Voting Preferred Shares would otherwise be entitled to receive shall be aggregated with all fractional Ordinary Shares issuable to such Holder and any remaining fractional shares shall be rounded up to the nearest whole share. Whether or not fractional shares would be issuable upon such conversion shall be determined on the basis of the total number of Series B Non-Voting Preferred Shares the Holder seeks to convert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Ordinary Shares upon conversion of the Series B Non-Voting Preferred 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B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Shareholder</w:t>
      </w:r>
      <w:r>
        <w:rPr>
          <w:rFonts w:ascii="Times New Roman" w:hAnsi="Times New Roman"/>
          <w:sz w:val="20"/>
        </w:rPr>
        <w:t xml:space="preserve">. Upon each Conversion Date, (i) the Series B Non-Voting Preferred Shares being converted shall be deemed converted into Ordinary Shares and (ii) the Holder’s rights as a holder of such converted Series B Non-Voting Preferred Shares shall cease and terminate, excepting only the right to receive certificates for such Ordinary Shares and to any remedies provided herein or otherwise available at law or in equity to such Holder because of a failure by the Company to comply with the terms of this Description of Rights. In all cases, the Holder shall retain all of its rights and remedies for the Company’s failure to convert Series B Non-Voting Preferred Share.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Share Dividends and Share Splits</w:t>
      </w:r>
      <w:r>
        <w:rPr>
          <w:rFonts w:ascii="Times New Roman" w:hAnsi="Times New Roman"/>
          <w:sz w:val="20"/>
        </w:rPr>
        <w:t xml:space="preserve">. If the Company, at any time while Series B Non-Voting Preferred Shares are issued and outstanding: (A) pays a share dividend or otherwise makes a distribution or distributions payable in Ordinary Shares (which, for avoidance of doubt, shall not include any Ordinary Shares issued by the Company upon conversion of this Series B Non-Voting Preferred Share) with respect to the then outstanding Ordinary Shares; (B) subdivides issued and outstanding Ordinary Shares into a larger number of shares; or (C) combines (including by way of a reverse share split) issued and outstanding Ordinary Shares into a smaller number of shares, then the Conversion Ratio shall be multiplied by a fraction of which the numerator shall be the number of Ordinary Shares (excluding any treasury shares of the Company) issued and outstanding immediately after such event and of which the denominator shall be the number of Ordinary Shares outstanding immediately before such event (excluding any treasury shares of the Company).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shareholders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the Series B Non-Voting Preferred Shares are issued and outstanding, (A) the Company effects any merger or consolidation of the Company with or into another Person or any share sale to, or other business combination (including, without limitation, a reorganization, recapitalization, spin-off, share exchange or scheme of arrangement) with or into another Person (other than such a transaction in which the Company is the surviving or continuing entity and its Ordinary Shares are not exchanged for or converted into other securities, cash or property), (B) the Company effects any sale, lease, transfer or exclusive license of all or substantially all of its assets in one transaction or a series of related transactions, (C) any tender offer or exchange offer by the Company is completed pursuant to which more than 50% of the Ordinary Shares not held by the Company is exchanged for or converted into other securities, cash or property, or (D) the Company effects any reclassification of the Ordinary Shares or any compulsory share exchange pursuant (other than as a result of a dividend, subdivision or combination covered by </w:t>
      </w:r>
      <w:r>
        <w:rPr>
          <w:rFonts w:ascii="Times New Roman" w:hAnsi="Times New Roman"/>
          <w:sz w:val="20"/>
          <w:u w:val="single"/>
        </w:rPr>
        <w:t>Section 7.1</w:t>
      </w:r>
      <w:r>
        <w:rPr>
          <w:rFonts w:ascii="Times New Roman" w:hAnsi="Times New Roman"/>
          <w:sz w:val="20"/>
        </w:rPr>
        <w:t xml:space="preserve">) to which the Ordinary Shares are effectively converted into or exchanged for other securities, cash or property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any such case, a “</w:t>
      </w:r>
      <w:r>
        <w:rPr>
          <w:rFonts w:ascii="Times New Roman" w:hAnsi="Times New Roman"/>
          <w:b/>
          <w:i/>
          <w:sz w:val="20"/>
        </w:rPr>
        <w:t>Fundamental Transaction</w:t>
      </w:r>
      <w:r>
        <w:rPr>
          <w:rFonts w:ascii="Times New Roman" w:hAnsi="Times New Roman"/>
          <w:sz w:val="20"/>
        </w:rPr>
        <w:t>”), then, upon any subsequent conversion of the Series B Non-Voting Preferred Shares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Ordinary Share (the “</w:t>
      </w:r>
      <w:r>
        <w:rPr>
          <w:rFonts w:ascii="Times New Roman" w:hAnsi="Times New Roman"/>
          <w:b/>
          <w:i/>
          <w:sz w:val="20"/>
        </w:rPr>
        <w:t>Alternate Consideration</w:t>
      </w:r>
      <w:r>
        <w:rPr>
          <w:rFonts w:ascii="Times New Roman" w:hAnsi="Times New Roman"/>
          <w:sz w:val="20"/>
        </w:rPr>
        <w:t xml:space="preserve">”). For purposes of any such subsequent conversion, the determination of the Conversion Ratio shall be appropriately adjusted to apply to such Alternate Consideration based on the amount of Alternate Consideration issuable in respect of one Ordinary Share in such Fundamental Transaction, and the Company shall adjust the Conversion Ratio in a reasonable manner reflecting the relative value of any different components of the Alternate Consideration. If holders of Ordinary Shares are given any choice as to the securities, cash or property to be received in a Fundamental Transaction, then the Holders shall be given the same choice as to the Alternate Consideration it receives upon any conversion of the Series B Non-Voting Preferred Shares following such Fundamental Transaction. To the extent necessary to effectuate the foregoing provisions, any successor to the Company or surviving entity in such Fundamental Transaction shall file a new description of terms, certificate of designations or similar with the same terms and conditions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the Series B Non-Voting Preferred Shares (or any such replacement security) will be similarly adjusted upon any subsequent transaction analogous to a Fundamental Transaction. The Company shall cause to be delivered to each Holder, at its last address as it shall appear upon the share registers of the Company,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Ordinary Shares deemed to be issued as of a given date shall be the sum of the number of Ordinary Shares (excluding any treasury shares of the Company) issued.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Series B Non-Voting Preferred Shares shall not be redeemable; provided, however, that the foregoing shall not limit the ability of the Company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Series B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and things, and (ii) execute and deliver all such other agreements, certificates, instruments and documents, in each case, as any holder of Series B Non-Voting Preferred Shares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Series B Non-Voting Preferred Shares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Share Register</w:t>
      </w:r>
      <w:r>
        <w:rPr>
          <w:rFonts w:ascii="Times New Roman" w:hAnsi="Times New Roman"/>
          <w:sz w:val="20"/>
        </w:rPr>
        <w:t xml:space="preserve">. The Company shall maintain at its principal executive offices (or such other office or agency of the Company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Share, in which the Company shall record (i) the name, address, and electronic mail address of each holder in whose name the Series B Non-Voting Preferred Shares have been issued and (ii) the name, address, and electronic mail address of each transferee of any Series B Non-Voting Preferred Share. The Company may deem and treat the registered Holder of Series B Non-Voting Preferred Shares as the absolute owner thereof for the purpose of any conversion thereof and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purposes. The Company shall keep the register open and available at all times during business hours for inspection by any Holder of Series B Non-Voting Preferred Shares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Series B Non-Voting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Shares will be issued in book-entry form; provided that, if a Holder requests that such Holder’s of Series B Non-Voting Preferred Shares be issued in certificated form, the Company will instead issue a share certificate to such Holder representing such Holder’s Series B Non-Voting Preferred Shares. To the extent that any Series B Non-Voting Preferred Shares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Share Certificate</w:t>
      </w:r>
      <w:r>
        <w:rPr>
          <w:rFonts w:ascii="Times New Roman" w:hAnsi="Times New Roman"/>
          <w:sz w:val="20"/>
        </w:rPr>
        <w:t xml:space="preserve">. If a Holder’s Series B Non-Voting Preferred Share certificate shall be mutilated, lost, stolen or destroyed, the Company shall execute and deliver, in exchange and substitution for and upon cancellation of a mutilated certificate, or in lieu of or in substitution for a lost, stolen or destroyed certificate, a new certificate for the Series B Non-Voting Preferred Share so mutilated, lost, stolen or destroyed, but only upon receipt of evidence of such loss, theft or destruction of such certificate, and of the ownership hereof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Company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Company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Company or a Holder must be in writing. Notwithstanding any provision in this Description of Rights to the contrary, any provision contained herein and any right of the Holders of Series B Non-Voting Preferred Shares granted hereunder may be waived as to all Series B Non-Voting Preferred Shares (and the Holders thereof) upon the written consent of the Holders of not less than a majority of the Series B Non-Voting Preferred Shares then issued and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Share</w:t>
      </w:r>
      <w:r>
        <w:rPr>
          <w:rFonts w:ascii="Times New Roman" w:hAnsi="Times New Roman"/>
          <w:sz w:val="20"/>
        </w:rPr>
        <w:t xml:space="preserve">. If any Series B Non-Voting Preferred Shares shall be converted or redeemed by the Company, such shares shall, to the fullest extent permitted by applicable law, be retired and cancelled upon such acquisition, and shall not be reissued as Series B Non-Voting Preferred Shares. Any Series B Non-Voting Preferred Shares so acquired shall, upon its retirement and cancellation, and upon the taking of any action required by applicable law, resume the status of authorized but unissued preferred shares and shall no longer be designated as Series B Non-Voting Preferred Shares.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Korsana Biosciences, Inc</w:t>
      </w:r>
      <w:r>
        <w:rPr>
          <w:rFonts w:ascii="Times New Roman" w:hAnsi="Times New Roman"/>
          <w:sz w:val="20"/>
        </w:rPr>
        <w:t xml:space="preserve">. has caused this Certificate of Designation of Preferences, Rights and Limitations of Series B Convertible Shares to be duly executed on its behalf by a director of the Company 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36"/>
        <w:gridCol w:w="105"/>
        <w:gridCol w:w="2841"/>
      </w:tblGrid>
      <w:tr>
        <w:trPr/>
        <w:tc>
          <w:tcPr>
            <w:tcW w:w="113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1136" w:type="dxa"/>
            <w:tcBorders/>
            <w:vAlign w:val="center"/>
          </w:tcPr>
          <w:p>
            <w:pPr>
              <w:pStyle w:val="TableContents"/>
              <w:bidi w:val="0"/>
              <w:spacing w:before="0" w:after="283"/>
              <w:jc w:val="left"/>
              <w:rPr>
                <w:sz w:val="4"/>
                <w:szCs w:val="4"/>
              </w:rPr>
            </w:pPr>
            <w:r>
              <w:rPr>
                <w:sz w:val="4"/>
                <w:szCs w:val="4"/>
              </w:rPr>
            </w:r>
          </w:p>
        </w:tc>
        <w:tc>
          <w:tcPr>
            <w:tcW w:w="2946"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Name: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Title: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IN ORDER TO CONVERT SERIES B NON-VOTING CONVERTIBLE PREFERRED SHARE)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Series B Non-Voting Preferred Shares indicated below, represented in book-entry form, into ordinary shares of $0.0001 par value (the “</w:t>
      </w:r>
      <w:r>
        <w:rPr>
          <w:rFonts w:ascii="Times New Roman" w:hAnsi="Times New Roman"/>
          <w:b/>
          <w:i/>
          <w:sz w:val="20"/>
        </w:rPr>
        <w:t>Ordinary Shares</w:t>
      </w:r>
      <w:r>
        <w:rPr>
          <w:rFonts w:ascii="Times New Roman" w:hAnsi="Times New Roman"/>
          <w:sz w:val="20"/>
        </w:rPr>
        <w:t>”), of Korsana Biosciences, Inc. (the “</w:t>
      </w:r>
      <w:r>
        <w:rPr>
          <w:rFonts w:ascii="Times New Roman" w:hAnsi="Times New Roman"/>
          <w:b/>
          <w:sz w:val="20"/>
        </w:rPr>
        <w:t>Company</w:t>
      </w:r>
      <w:r>
        <w:rPr>
          <w:rFonts w:ascii="Times New Roman" w:hAnsi="Times New Roman"/>
          <w:sz w:val="20"/>
        </w:rPr>
        <w:t xml:space="preserve">”), an exempted company incorporated in the Cayman Islands with limited liability,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Amended and Restated Memorandum and Articles of Association adopted by special resolution on [  ], 2026 or the Certificate of Designation of Preferences Rights and Limitations of Series B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Ordinary Shares beneficially owned by the undersigned Holder (together with such Holder’s Attribution Parties), including the number of Ordinary Shares issuable upon conversion of the Series B Non-Voting Preferred Shares subject to this Notice of Conversion, but excluding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3"/>
        <w:gridCol w:w="101"/>
        <w:gridCol w:w="1531"/>
      </w:tblGrid>
      <w:tr>
        <w:trPr/>
        <w:tc>
          <w:tcPr>
            <w:tcW w:w="8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Date to Effect Conversion:</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Series B Non-Voting Preferred Shares owned prior to Conversion:</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Series B Non-Voting Preferred Shares to be Converted:</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Ordinary Shares to be Issued:</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Address for delivery of physical certificates:</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For DWAC Delivery, please provide the following:</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Broker No.:</w:t>
            </w:r>
            <w:r>
              <w:rPr>
                <w:rFonts w:ascii="Times New Roman" w:hAnsi="Times New Roman"/>
                <w:sz w:val="20"/>
                <w:u w:val="single"/>
              </w:rPr>
              <w:t>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Account No.:</w:t>
            </w:r>
            <w:r>
              <w:rPr>
                <w:rFonts w:ascii="Times New Roman" w:hAnsi="Times New Roman"/>
                <w:sz w:val="20"/>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08"/>
        <w:gridCol w:w="94"/>
        <w:gridCol w:w="2980"/>
      </w:tblGrid>
      <w:tr>
        <w:trPr/>
        <w:tc>
          <w:tcPr>
            <w:tcW w:w="1008"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1008" w:type="dxa"/>
            <w:tcBorders/>
            <w:vAlign w:val="center"/>
          </w:tcPr>
          <w:p>
            <w:pPr>
              <w:pStyle w:val="TableContents"/>
              <w:bidi w:val="0"/>
              <w:spacing w:before="0" w:after="283"/>
              <w:jc w:val="left"/>
              <w:rPr>
                <w:sz w:val="4"/>
                <w:szCs w:val="4"/>
              </w:rPr>
            </w:pPr>
            <w:r>
              <w:rPr>
                <w:sz w:val="4"/>
                <w:szCs w:val="4"/>
              </w:rPr>
            </w:r>
          </w:p>
        </w:tc>
        <w:tc>
          <w:tcPr>
            <w:tcW w:w="3074" w:type="dxa"/>
            <w:gridSpan w:val="2"/>
            <w:tcBorders/>
            <w:vAlign w:val="center"/>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By:</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Name: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Title: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6079_24"/>
      <w:bookmarkEnd w:id="26"/>
      <w:r>
        <w:rPr>
          <w:rFonts w:ascii="Times New Roman" w:hAnsi="Times New Roman"/>
          <w:b/>
          <w:sz w:val="20"/>
        </w:rPr>
        <w:t xml:space="preserve">ANNEX E </w:t>
      </w:r>
    </w:p>
    <w:p>
      <w:pPr>
        <w:pStyle w:val="TextBody"/>
        <w:bidi w:val="0"/>
        <w:spacing w:before="120" w:after="0"/>
        <w:jc w:val="center"/>
        <w:rPr>
          <w:rFonts w:ascii="Times New Roman" w:hAnsi="Times New Roman"/>
          <w:b/>
          <w:sz w:val="20"/>
        </w:rPr>
      </w:pPr>
      <w:r>
        <w:rPr>
          <w:rFonts w:ascii="Times New Roman" w:hAnsi="Times New Roman"/>
          <w:b/>
          <w:sz w:val="20"/>
        </w:rPr>
        <w:t xml:space="preserve">REDOMESTICATION RESOLUTIONS </w:t>
      </w:r>
    </w:p>
    <w:p>
      <w:pPr>
        <w:pStyle w:val="TextBody"/>
        <w:bidi w:val="0"/>
        <w:spacing w:before="0" w:after="0"/>
        <w:jc w:val="center"/>
        <w:rPr>
          <w:rFonts w:ascii="Times New Roman" w:hAnsi="Times New Roman"/>
          <w:b/>
          <w:sz w:val="20"/>
        </w:rPr>
      </w:pPr>
      <w:r>
        <w:rPr>
          <w:rFonts w:ascii="Times New Roman" w:hAnsi="Times New Roman"/>
          <w:b/>
          <w:sz w:val="20"/>
        </w:rPr>
        <w:t xml:space="preserve">RESOLUTIONS OF THE BOARD OF DIRECTORS FOR THE REDOMESTICATION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Redomestication of the Company to the Cayman Islands by way of Continuation </w:t>
      </w:r>
    </w:p>
    <w:p>
      <w:pPr>
        <w:pStyle w:val="TextBody"/>
        <w:bidi w:val="0"/>
        <w:spacing w:before="120" w:after="0"/>
        <w:jc w:val="left"/>
        <w:rPr>
          <w:rFonts w:ascii="Times New Roman" w:hAnsi="Times New Roman"/>
          <w:sz w:val="20"/>
        </w:rPr>
      </w:pPr>
      <w:r>
        <w:rPr>
          <w:rFonts w:ascii="Times New Roman" w:hAnsi="Times New Roman"/>
          <w:sz w:val="20"/>
        </w:rPr>
        <w:t xml:space="preserve">WHEREAS, as part of their ongoing oversight, direction and management of the business of Korsana Biosciences, Inc., a Massachusetts corporation (the “Company”), the board of directors of the Company (the “Board”) and management have thoroughly discussed the issue of the Company’s jurisdiction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WHEREAS, after considering other jurisdictions of incorporation, the Board decided to focus on Massachusetts and the Cayman Islands and evaluate the domestication of the Company from the Commonwealth of Massachusetts to the Cayman Islands by way of continuation of the Company from a corporation organized under the laws of the Commonwealth of Massachusetts to an exempted company incorporated under the laws of the Cayman Islands, pursuant to and in accordance with Section 9.20 of the Massachusetts Business Corporation Act, as amended (the “MBCA”), Part XII of the Companies Act (As Revised) of the Cayman Islands (the “Companies Act”), and the proposed Plan of Domestication (the “Plan of Domestication”), substantially in the form attached as Annex A to the proxy statement for the Special Meeting (as defined below) (such domestication and continuation,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evaluated a number of factors in reaching a decision regarding the Company’s jurisdiction of incorporation, including possible negative impacts from a potential domestication, meaningful differences in corporate law between Massachusetts and the Cayman Islands and implications to the Company’s shareholders for economic, governance and litigation rights, as well as the other factors and considerations reflected in the management proposal (the “Redomestication Proposal”) included in the proxy statement for the special meeting of the Company’s shareholders (including any adjournments or postponements thereof,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WHEREAS, through the adoption of the Plan of Domestication, upon the Redomestication, the Company will cease to be governed by the laws of the Commonwealth of Massachusetts and its existing restated articles of organization, as amended, and amended and restated bylaws and will become an exempted company governed by the laws of the Cayman Islands (the “Converted Company”) as well as by the proposed Cayman Islands memorandum and articles of association, substantially in the form attached as Annex B to the proxy statement for the Special Meeting (the “Cayman Articles”), and the proposed Cayman Islands certificates of designation of Series A Non-Voting Convertible Preferred Shares and Series B Non-Voting Convertible Preferred Shares, substantially in the forms attached as Annex C and Annex D to the proxy statement for the Special Meeting, respectively (collectively, the “Cayman Certificates of Designation” and, together with the Cayman Articles, the “Cayman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WHEREAS, upon receipt of shareholder approval of the Redomestication Proposal and the Redomestication (including the Plan of Domestication, the Redomestication Documents (as hereinafter defined) and the Cayman Governing Documents) and these resolutions approving the Redomestication at the Special Meeting, the Redomestication will become effective on the date and/or time (the “Effective Date”) (i) of the registration of the Converted Company by the Cayman Islands Registrar of Companies (the “Certificate of Continuation”) and (ii) specified in articles of charter surrender meeting the requirements of Section 9.23 of the MBCA (the “Articles of Charter Surrender”) to be properly executed and filed in accordance with such section; </w:t>
      </w:r>
    </w:p>
    <w:p>
      <w:pPr>
        <w:pStyle w:val="TextBody"/>
        <w:bidi w:val="0"/>
        <w:spacing w:before="240" w:after="0"/>
        <w:jc w:val="left"/>
        <w:rPr>
          <w:rFonts w:ascii="Times New Roman" w:hAnsi="Times New Roman"/>
          <w:sz w:val="20"/>
        </w:rPr>
      </w:pPr>
      <w:r>
        <w:rPr>
          <w:rFonts w:ascii="Times New Roman" w:hAnsi="Times New Roman"/>
          <w:sz w:val="20"/>
        </w:rPr>
        <w:t xml:space="preserve">WHEREAS, on the Effective Date, (i) each share of common stock, no par value per share (“Common Stock”), of the Company issued and outstanding or held in treasury immediately prior to the Effective Date will be automatically converted into an outstanding ordinary share of the Converted Company with a nominal or par value of $0.0001 per ordinary share; (ii) each share of any series of the preferred stock, no par value per share, of the Company issued and outstanding immediately prior to the Effective Date will be automatically converted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outstanding share, with a nominal or par value of $0.0001 per share, of the corresponding series of preferred shares of the Converted Company; and (iii) each option or right to acquire shares of Common Stock of the Company issued and outstanding will continue in existence in the form of and will automatically become an option or right to acquire an equal number of ordinary shares, each with a nominal or par value of $0.0001 per ordinary share of the Converted Company under the same terms and conditions;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has determined that it is in the best interests of the Company and its shareholders for the Company to domesticate to the Cayman Islands by way of continuation.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BE IT RESOLVED, that the Board hereby unanimously determines that the Redomestication, the Plan of Domestication, the Redomestication Documents and the Cayman Governing Documents are in the best interests of the Company and its shareholders and approves and adopts the Redomestication, the Plan of Domestication, the Redomestication Documents and the Cayman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the Plan of Domestication (including each attachment thereto) is incorporated herein by reference and that the form, terms, provisions and conditions of the Plan of Domestication be, and the same hereby are, in all respects approved and adopted;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in accordance with the Plan of Domestication, from and after the Effective Date, the board of directors of the Converted Company shall consist of the same directors as the Board immediately prior to the Effective Date,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the initial term of office of the Class I directors shall expire at the Converted Company’s 2027 annual meeting of shareholders, the initial term of office of the Class II directors shall expire at the Converted Company’s 2028 annual meeting of shareholders, the initial term of office of the Class III directors shall expire at the Converted Company’s 2029 annual meeting of shareholders, and at each annual meeting of shareholders following the Effective Date, directors elected to succeed those directors of the class whose terms then expire shall be elected for a term of office to expire at the third succeeding annual meeting of shareholders after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in accordance with the Plan of Domestication, from and after the Effective Date, the Chair of the Board as of the Effective Date shall continue to serve as the Chair of the board of directors of the Converted Company until a successor has been duly elected or appointed and qualified or until his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effective as of the Effective Date, each committee of the Board as of immediately prior to the Effective Date shall be, from and after the Effective Date, constituted as a committee of the board of directors of the Converted Company on the same terms and with the same powers and authority of the Board as of immediately prior to the Effective Date, and the members of each committee of the Board as of immediately prior to the Effective Date shall be, from and after the Effective Date, the members of each such committee of the board of directors of the Converted Company,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the Board hereby directs that the Redomestication (including the Plan of Domestication and the Cayman Governing Documents) and these resolutions approving the Redomestication be submitted for approval and adoption, respectively, by the shareholders of the Company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the Board hereby unanimously recommends a vote “FOR” the Redomestication Proposal, including, without limitation, the Redomestication (including the Plan of Domestication and the Cayman Governing Documents), and that the Company’s shareholders approve the Redomestication (including the Plan of Domestication and the Cayman Governing Documents) and adopt these resolutions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RESOLVED FURTHER, that upon receipt of shareholder approval of the Redomestication Proposal at the Special Meeting, including, without limitation, the approval of the Redomestication (including the Plan of Domestication and the Cayman Governing Documents) and the adoption of these resolutions, each of the duly authorized officers of the Company (together, the “Authorized Officers” and each, an “Authorized Officer”) be, and each of them hereby is, authorized, empowered and directed, in the name and on behalf of the Company and without further action from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Domestication and the Redomestication Documents and to consummate the Redomestication, including, without limitation, (a) the execution and filing of any and all documents relating to and in connection with the Redomestication required under the MBCA and the Companies Act, including, without limitation, any affidavit, undertaking, declaration, notice or otherwise (the “Redomestication Documents”), (b) the execution and filing of the Plan of Domestication and the Cayman Articles, (c) the filing of the annual reports required by the Secretary of the Commonwealth of Massachusetts, (d) the payment of any fees that may be necessary in connection with the Redomestication, (e) the submission of all required notifications to The Nasdaq Stock Market LLC or any other applicable stock exchange, and (f) the filing of Current Reports on Form 8-K and any other regulatory filings that may be necessary, desirable or appropriate in connection with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notwithstanding approval by the shareholders of the Company at the Special Meeting of the Redomestication (including the Plan of Domestication and the Cayman Governing Documents) and the adoption of these resolutions, the Board may, at any time prior to the Effective Date, abandon the Redomestication and the Plan of Domestication without further action by the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pursuant to the Plan of Domestication, at the Effective Date, any outstanding stock certificates that immediately prior to the Effective Date represented issued and outstanding shares of Common Stock of the Company shall be deemed, subject to the below, for all purposes to evidence ownership of and to represent the respective ordinary shares of the Converted Company into which the shares represented by such certificates are converted pursuant to the Plan of Domestication, and that, at the Effective Date, the transfer agent be and is hereby authorized to make any updates to the register of members of the Company that may be required in connection with the Redomestication; and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notwithstanding the foregoing resolutions, any ordinary shares of the Converted Company may be issued as uncertificated shares, whether upon original issuance, re-issuance or subsequent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367"/>
        <w:gridCol w:w="102"/>
        <w:gridCol w:w="673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904875" cy="24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 cy="2476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2"/>
              </w:rPr>
            </w:pPr>
            <w:r>
              <w:rPr>
                <w:rFonts w:ascii="Arial" w:hAnsi="Arial"/>
                <w:sz w:val="12"/>
              </w:rPr>
              <w:t>P.O. BOX 8016, CARY, NC 27512-9903</w:t>
            </w:r>
          </w:p>
        </w:tc>
        <w:tc>
          <w:tcPr>
            <w:tcW w:w="102" w:type="dxa"/>
            <w:tcBorders/>
            <w:vAlign w:val="bottom"/>
          </w:tcPr>
          <w:p>
            <w:pPr>
              <w:pStyle w:val="TableContents"/>
              <w:bidi w:val="0"/>
              <w:spacing w:before="0" w:after="283"/>
              <w:jc w:val="left"/>
              <w:rPr/>
            </w:pPr>
            <w:r>
              <w:rPr/>
              <w:t> </w:t>
            </w:r>
          </w:p>
        </w:tc>
        <w:tc>
          <w:tcPr>
            <w:tcW w:w="6736" w:type="dxa"/>
            <w:tcBorders/>
            <w:vAlign w:val="bottom"/>
          </w:tcPr>
          <w:p>
            <w:pPr>
              <w:pStyle w:val="TableContents"/>
              <w:bidi w:val="0"/>
              <w:spacing w:before="0" w:after="283"/>
              <w:jc w:val="right"/>
              <w:rPr/>
            </w:pPr>
            <w:r>
              <w:rPr/>
              <w:drawing>
                <wp:inline distT="0" distB="0" distL="0" distR="0">
                  <wp:extent cx="4124325" cy="2819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124325" cy="281940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3198" w:type="dxa"/>
        <w:jc w:val="center"/>
        <w:tblInd w:w="0" w:type="dxa"/>
        <w:tblLayout w:type="fixed"/>
        <w:tblCellMar>
          <w:top w:w="0" w:type="dxa"/>
          <w:left w:w="0" w:type="dxa"/>
          <w:bottom w:w="0" w:type="dxa"/>
          <w:right w:w="0" w:type="dxa"/>
        </w:tblCellMar>
      </w:tblPr>
      <w:tblGrid>
        <w:gridCol w:w="6615"/>
        <w:gridCol w:w="60"/>
        <w:gridCol w:w="23"/>
        <w:gridCol w:w="60"/>
        <w:gridCol w:w="855"/>
        <w:gridCol w:w="60"/>
        <w:gridCol w:w="5525"/>
      </w:tblGrid>
      <w:tr>
        <w:trPr/>
        <w:tc>
          <w:tcPr>
            <w:tcW w:w="6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6615" w:type="dxa"/>
            <w:vMerge w:val="restart"/>
            <w:tcBorders/>
          </w:tcPr>
          <w:p>
            <w:pPr>
              <w:pStyle w:val="TableContents"/>
              <w:bidi w:val="0"/>
              <w:spacing w:before="0" w:after="0"/>
              <w:jc w:val="center"/>
              <w:rPr>
                <w:rFonts w:ascii="Arial" w:hAnsi="Arial"/>
                <w:b/>
                <w:color w:val="103140"/>
                <w:sz w:val="28"/>
              </w:rPr>
            </w:pPr>
            <w:r>
              <w:rPr>
                <w:rFonts w:ascii="Arial" w:hAnsi="Arial"/>
                <w:b/>
                <w:color w:val="103140"/>
                <w:sz w:val="28"/>
              </w:rPr>
              <w:t>Korsana Biosciences, Inc.</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4200525"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00525" cy="438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color w:val="333300"/>
                <w:sz w:val="18"/>
              </w:rPr>
            </w:pPr>
            <w:r>
              <w:rPr>
                <w:rFonts w:ascii="Arial" w:hAnsi="Arial"/>
                <w:color w:val="333300"/>
                <w:sz w:val="18"/>
              </w:rPr>
              <w:t>For Shareholders of record as of October 7, 2026</w:t>
            </w:r>
          </w:p>
          <w:p>
            <w:pPr>
              <w:pStyle w:val="TableContents"/>
              <w:bidi w:val="0"/>
              <w:spacing w:before="0" w:after="0"/>
              <w:jc w:val="left"/>
              <w:rPr/>
            </w:pPr>
            <w:r>
              <w:rPr/>
              <w:t> </w:t>
            </w:r>
          </w:p>
          <w:p>
            <w:pPr>
              <w:pStyle w:val="TableContents"/>
              <w:bidi w:val="0"/>
              <w:spacing w:before="0" w:after="0"/>
              <w:jc w:val="center"/>
              <w:rPr>
                <w:rFonts w:ascii="Arial" w:hAnsi="Arial"/>
                <w:color w:val="103140"/>
                <w:sz w:val="18"/>
              </w:rPr>
            </w:pPr>
            <w:r>
              <w:rPr>
                <w:rFonts w:ascii="Arial" w:hAnsi="Arial"/>
                <w:color w:val="103140"/>
                <w:sz w:val="18"/>
              </w:rPr>
              <w:t>Friday, November 13, 2026 10:30 AM, Eastern Time</w:t>
            </w:r>
          </w:p>
          <w:p>
            <w:pPr>
              <w:pStyle w:val="TableContents"/>
              <w:bidi w:val="0"/>
              <w:spacing w:before="0" w:after="0"/>
              <w:jc w:val="center"/>
              <w:rPr>
                <w:rFonts w:ascii="Arial" w:hAnsi="Arial"/>
                <w:color w:val="103140"/>
                <w:sz w:val="18"/>
              </w:rPr>
            </w:pPr>
            <w:r>
              <w:rPr>
                <w:rFonts w:ascii="Arial" w:hAnsi="Arial"/>
                <w:color w:val="103140"/>
                <w:sz w:val="18"/>
              </w:rPr>
              <w:t>Special Meeting to be held live via the Internet - please visit</w:t>
            </w:r>
          </w:p>
          <w:p>
            <w:pPr>
              <w:pStyle w:val="TableContents"/>
              <w:pBdr>
                <w:bottom w:val="single" w:sz="2" w:space="1" w:color="000000"/>
              </w:pBdr>
              <w:bidi w:val="0"/>
              <w:spacing w:before="0" w:after="0"/>
              <w:jc w:val="center"/>
              <w:rPr>
                <w:rFonts w:ascii="Arial" w:hAnsi="Arial"/>
                <w:color w:val="103140"/>
                <w:sz w:val="18"/>
              </w:rPr>
            </w:pPr>
            <w:r>
              <w:rPr>
                <w:rFonts w:ascii="Arial" w:hAnsi="Arial"/>
                <w:color w:val="103140"/>
                <w:sz w:val="18"/>
              </w:rPr>
              <w:t>www.proxydocs.com/KRSA for more details.</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20"/>
              <w:jc w:val="center"/>
              <w:rPr>
                <w:rFonts w:ascii="Arial" w:hAnsi="Arial"/>
                <w:b/>
                <w:sz w:val="20"/>
              </w:rPr>
            </w:pPr>
            <w:r>
              <w:rPr>
                <w:rFonts w:ascii="Arial" w:hAnsi="Arial"/>
                <w:b/>
                <w:sz w:val="20"/>
              </w:rPr>
              <w:t>PLEASE VOTE BY: 11:59 PM, Eastern Time, November 12, 2026.</w:t>
            </w:r>
          </w:p>
        </w:tc>
        <w:tc>
          <w:tcPr>
            <w:tcW w:w="60" w:type="dxa"/>
            <w:tcBorders/>
            <w:vAlign w:val="bottom"/>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5" w:type="dxa"/>
            <w:tcBorders/>
            <w:vAlign w:val="center"/>
          </w:tcPr>
          <w:p>
            <w:pPr>
              <w:pStyle w:val="TableContents"/>
              <w:bidi w:val="0"/>
              <w:spacing w:before="0" w:after="0"/>
              <w:jc w:val="center"/>
              <w:rPr/>
            </w:pPr>
            <w:r>
              <w:rPr/>
              <w:drawing>
                <wp:inline distT="0" distB="0" distL="0" distR="0">
                  <wp:extent cx="457200"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7200" cy="40957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5525" w:type="dxa"/>
            <w:tcBorders/>
          </w:tcPr>
          <w:p>
            <w:pPr>
              <w:pStyle w:val="TableContents"/>
              <w:bidi w:val="0"/>
              <w:spacing w:before="0" w:after="0"/>
              <w:jc w:val="left"/>
              <w:rPr>
                <w:rFonts w:ascii="Arial" w:hAnsi="Arial"/>
                <w:b/>
                <w:color w:val="103140"/>
                <w:sz w:val="20"/>
              </w:rPr>
            </w:pPr>
            <w:r>
              <w:rPr>
                <w:rFonts w:ascii="Arial" w:hAnsi="Arial"/>
                <w:b/>
                <w:color w:val="103140"/>
                <w:sz w:val="20"/>
              </w:rPr>
              <w:t>Internet:</w:t>
            </w:r>
          </w:p>
          <w:p>
            <w:pPr>
              <w:pStyle w:val="TableContents"/>
              <w:bidi w:val="0"/>
              <w:spacing w:before="0" w:after="0"/>
              <w:jc w:val="left"/>
              <w:rPr/>
            </w:pPr>
            <w:r>
              <w:rPr/>
              <w:t> </w:t>
            </w:r>
          </w:p>
          <w:p>
            <w:pPr>
              <w:pStyle w:val="TableContents"/>
              <w:bidi w:val="0"/>
              <w:spacing w:before="0" w:after="0"/>
              <w:jc w:val="left"/>
              <w:rPr>
                <w:rFonts w:ascii="Arial" w:hAnsi="Arial"/>
                <w:b/>
                <w:color w:val="A0CFD9"/>
                <w:sz w:val="16"/>
              </w:rPr>
            </w:pPr>
            <w:r>
              <w:rPr>
                <w:rFonts w:ascii="Arial" w:hAnsi="Arial"/>
                <w:b/>
                <w:color w:val="A0CFD9"/>
                <w:sz w:val="16"/>
              </w:rPr>
              <w:t>www.proxypush.com/KRSA</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Cast your vote online</w:t>
            </w:r>
          </w:p>
          <w:p>
            <w:pPr>
              <w:pStyle w:val="TableContents"/>
              <w:bidi w:val="0"/>
              <w:spacing w:before="0" w:after="0"/>
              <w:jc w:val="left"/>
              <w:rPr/>
            </w:pPr>
            <w:r>
              <w:rPr/>
              <w:t> </w:t>
            </w:r>
          </w:p>
          <w:p>
            <w:pPr>
              <w:pStyle w:val="TableContents"/>
              <w:bidi w:val="0"/>
              <w:spacing w:before="0" w:after="0"/>
              <w:jc w:val="left"/>
              <w:rPr>
                <w:rFonts w:ascii="Arial" w:hAnsi="Arial"/>
                <w:b/>
              </w:rPr>
            </w:pPr>
            <w:r>
              <w:rPr>
                <w:rFonts w:ascii="Arial" w:hAnsi="Arial"/>
                <w:b/>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Follow the simple instructions to record your vote</w:t>
            </w:r>
          </w:p>
        </w:tc>
      </w:tr>
      <w:tr>
        <w:trPr/>
        <w:tc>
          <w:tcPr>
            <w:tcW w:w="661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5" w:type="dxa"/>
            <w:tcBorders/>
            <w:vAlign w:val="center"/>
          </w:tcPr>
          <w:p>
            <w:pPr>
              <w:pStyle w:val="TableContents"/>
              <w:bidi w:val="0"/>
              <w:spacing w:before="0" w:after="0"/>
              <w:jc w:val="center"/>
              <w:rPr/>
            </w:pPr>
            <w:r>
              <w:rPr/>
              <w:drawing>
                <wp:inline distT="0" distB="0" distL="0" distR="0">
                  <wp:extent cx="314325" cy="46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4325" cy="46672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5525" w:type="dxa"/>
            <w:tcBorders/>
          </w:tcPr>
          <w:p>
            <w:pPr>
              <w:pStyle w:val="TableContents"/>
              <w:bidi w:val="0"/>
              <w:spacing w:before="0" w:after="0"/>
              <w:jc w:val="left"/>
              <w:rPr/>
            </w:pPr>
            <w:r>
              <w:rPr/>
              <w:t> </w:t>
            </w:r>
          </w:p>
          <w:p>
            <w:pPr>
              <w:pStyle w:val="TableContents"/>
              <w:bidi w:val="0"/>
              <w:spacing w:before="0" w:after="0"/>
              <w:jc w:val="left"/>
              <w:rPr>
                <w:rFonts w:ascii="Arial" w:hAnsi="Arial"/>
                <w:b/>
                <w:color w:val="103140"/>
                <w:sz w:val="20"/>
              </w:rPr>
            </w:pPr>
            <w:r>
              <w:rPr>
                <w:rFonts w:ascii="Arial" w:hAnsi="Arial"/>
                <w:b/>
                <w:color w:val="103140"/>
                <w:sz w:val="20"/>
              </w:rPr>
              <w:t>Phone:</w:t>
            </w:r>
          </w:p>
          <w:p>
            <w:pPr>
              <w:pStyle w:val="TableContents"/>
              <w:bidi w:val="0"/>
              <w:spacing w:before="0" w:after="0"/>
              <w:jc w:val="left"/>
              <w:rPr/>
            </w:pPr>
            <w:r>
              <w:rPr/>
              <w:t> </w:t>
            </w:r>
          </w:p>
          <w:p>
            <w:pPr>
              <w:pStyle w:val="TableContents"/>
              <w:bidi w:val="0"/>
              <w:spacing w:before="0" w:after="0"/>
              <w:jc w:val="left"/>
              <w:rPr>
                <w:rFonts w:ascii="Arial" w:hAnsi="Arial"/>
                <w:b/>
                <w:color w:val="A0CFD9"/>
                <w:sz w:val="16"/>
              </w:rPr>
            </w:pPr>
            <w:r>
              <w:rPr>
                <w:rFonts w:ascii="Arial" w:hAnsi="Arial"/>
                <w:b/>
                <w:color w:val="A0CFD9"/>
                <w:sz w:val="16"/>
              </w:rPr>
              <w:t>1-866-864-0727</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Use any touch-tone telephone</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b/>
              </w:rPr>
              <w:t>Have</w:t>
            </w:r>
            <w:r>
              <w:rPr>
                <w:rFonts w:ascii="Arial" w:hAnsi="Arial"/>
              </w:rPr>
              <w:t xml:space="preserve"> </w:t>
            </w:r>
            <w:r>
              <w:rPr>
                <w:rFonts w:ascii="Arial" w:hAnsi="Arial"/>
                <w:b/>
              </w:rPr>
              <w:t>your</w:t>
            </w:r>
            <w:r>
              <w:rPr>
                <w:rFonts w:ascii="Arial" w:hAnsi="Arial"/>
              </w:rPr>
              <w:t xml:space="preserve"> </w:t>
            </w:r>
            <w:r>
              <w:rPr>
                <w:rFonts w:ascii="Arial" w:hAnsi="Arial"/>
                <w:b/>
              </w:rPr>
              <w:t>Proxy</w:t>
            </w:r>
            <w:r>
              <w:rPr>
                <w:rFonts w:ascii="Arial" w:hAnsi="Arial"/>
              </w:rPr>
              <w:t xml:space="preserve"> </w:t>
            </w:r>
            <w:r>
              <w:rPr>
                <w:rFonts w:ascii="Arial" w:hAnsi="Arial"/>
                <w:b/>
              </w:rPr>
              <w:t>Card</w:t>
            </w:r>
            <w:r>
              <w:rPr>
                <w:rFonts w:ascii="Arial" w:hAnsi="Arial"/>
              </w:rPr>
              <w:t xml:space="preserve"> </w:t>
            </w:r>
            <w:r>
              <w:rPr>
                <w:rFonts w:ascii="Arial" w:hAnsi="Arial"/>
                <w:b/>
              </w:rPr>
              <w:t>ready</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Follow the simple recorded instructions</w:t>
            </w:r>
          </w:p>
        </w:tc>
      </w:tr>
      <w:tr>
        <w:trPr/>
        <w:tc>
          <w:tcPr>
            <w:tcW w:w="661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5" w:type="dxa"/>
            <w:tcBorders/>
            <w:vAlign w:val="center"/>
          </w:tcPr>
          <w:p>
            <w:pPr>
              <w:pStyle w:val="TableContents"/>
              <w:bidi w:val="0"/>
              <w:spacing w:before="0" w:after="283"/>
              <w:jc w:val="center"/>
              <w:rPr/>
            </w:pPr>
            <w:r>
              <w:rPr/>
              <w:drawing>
                <wp:inline distT="0" distB="0" distL="0" distR="0">
                  <wp:extent cx="447675" cy="447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47675" cy="447675"/>
                          </a:xfrm>
                          <a:prstGeom prst="rect">
                            <a:avLst/>
                          </a:prstGeom>
                        </pic:spPr>
                      </pic:pic>
                    </a:graphicData>
                  </a:graphic>
                </wp:inline>
              </w:drawing>
            </w:r>
            <w:r>
              <w:rPr/>
              <w:t xml:space="preserve"> </w:t>
            </w:r>
          </w:p>
        </w:tc>
        <w:tc>
          <w:tcPr>
            <w:tcW w:w="60" w:type="dxa"/>
            <w:tcBorders/>
            <w:vAlign w:val="bottom"/>
          </w:tcPr>
          <w:p>
            <w:pPr>
              <w:pStyle w:val="TableContents"/>
              <w:bidi w:val="0"/>
              <w:spacing w:before="0" w:after="283"/>
              <w:jc w:val="left"/>
              <w:rPr/>
            </w:pPr>
            <w:r>
              <w:rPr/>
              <w:t> </w:t>
            </w:r>
          </w:p>
        </w:tc>
        <w:tc>
          <w:tcPr>
            <w:tcW w:w="5525" w:type="dxa"/>
            <w:tcBorders/>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Mail:</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Mark, sign and date your Proxy Card</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Fold and return your Proxy Card in the postage-paid</w:t>
              <w:br/>
              <w:t>envelope provided</w:t>
            </w:r>
          </w:p>
        </w:tc>
      </w:tr>
      <w:tr>
        <w:trPr/>
        <w:tc>
          <w:tcPr>
            <w:tcW w:w="661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left"/>
              <w:rPr/>
            </w:pPr>
            <w:r>
              <w:rPr/>
              <w:drawing>
                <wp:inline distT="0" distB="0" distL="0" distR="0">
                  <wp:extent cx="504825" cy="419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4825" cy="419100"/>
                          </a:xfrm>
                          <a:prstGeom prst="rect">
                            <a:avLst/>
                          </a:prstGeom>
                        </pic:spPr>
                      </pic:pic>
                    </a:graphicData>
                  </a:graphic>
                </wp:inline>
              </w:drawing>
            </w:r>
            <w:r>
              <w:rPr/>
              <w:t xml:space="preserve"> </w:t>
            </w:r>
          </w:p>
        </w:tc>
        <w:tc>
          <w:tcPr>
            <w:tcW w:w="60" w:type="dxa"/>
            <w:tcBorders/>
            <w:vAlign w:val="bottom"/>
          </w:tcPr>
          <w:p>
            <w:pPr>
              <w:pStyle w:val="TableContents"/>
              <w:bidi w:val="0"/>
              <w:spacing w:before="0" w:after="283"/>
              <w:jc w:val="left"/>
              <w:rPr/>
            </w:pPr>
            <w:r>
              <w:rPr/>
              <w:t> </w:t>
            </w:r>
          </w:p>
        </w:tc>
        <w:tc>
          <w:tcPr>
            <w:tcW w:w="5525" w:type="dxa"/>
            <w:tcBorders/>
          </w:tcPr>
          <w:p>
            <w:pPr>
              <w:pStyle w:val="TableContents"/>
              <w:bidi w:val="0"/>
              <w:spacing w:before="0" w:after="0"/>
              <w:jc w:val="left"/>
              <w:rPr/>
            </w:pPr>
            <w:r>
              <w:rPr/>
              <w:t> </w:t>
            </w:r>
          </w:p>
          <w:p>
            <w:pPr>
              <w:pStyle w:val="TableContents"/>
              <w:bidi w:val="0"/>
              <w:spacing w:before="0" w:after="0"/>
              <w:jc w:val="left"/>
              <w:rPr>
                <w:rFonts w:ascii="Arial" w:hAnsi="Arial"/>
                <w:b/>
                <w:color w:val="103140"/>
                <w:sz w:val="20"/>
              </w:rPr>
            </w:pPr>
            <w:r>
              <w:rPr>
                <w:rFonts w:ascii="Arial" w:hAnsi="Arial"/>
                <w:b/>
                <w:color w:val="103140"/>
                <w:sz w:val="20"/>
              </w:rPr>
              <w:t>Virtual:</w:t>
            </w:r>
          </w:p>
          <w:p>
            <w:pPr>
              <w:pStyle w:val="TableContents"/>
              <w:bidi w:val="0"/>
              <w:spacing w:before="0" w:after="0"/>
              <w:jc w:val="left"/>
              <w:rPr/>
            </w:pPr>
            <w:r>
              <w:rPr/>
              <w:t> </w:t>
            </w:r>
          </w:p>
          <w:p>
            <w:pPr>
              <w:pStyle w:val="TableContents"/>
              <w:bidi w:val="0"/>
              <w:spacing w:before="0" w:after="0"/>
              <w:jc w:val="left"/>
              <w:rPr>
                <w:rFonts w:ascii="Arial" w:hAnsi="Arial"/>
                <w:sz w:val="15"/>
              </w:rPr>
            </w:pPr>
            <w:r>
              <w:rPr>
                <w:rFonts w:ascii="Arial" w:hAnsi="Arial"/>
                <w:sz w:val="15"/>
              </w:rPr>
              <w:t>You must register to attend the meeting online</w:t>
              <w:br/>
              <w:t>and/or participate at www.proxydocs.com/KRSA</w:t>
            </w:r>
          </w:p>
          <w:p>
            <w:pPr>
              <w:pStyle w:val="TableContents"/>
              <w:bidi w:val="0"/>
              <w:spacing w:before="0" w:after="20"/>
              <w:jc w:val="left"/>
              <w:rPr/>
            </w:pPr>
            <w:r>
              <w:rPr/>
              <w:t> </w:t>
            </w:r>
          </w:p>
        </w:tc>
      </w:tr>
    </w:tbl>
    <w:p>
      <w:pPr>
        <w:pStyle w:val="TextBody"/>
        <w:bidi w:val="0"/>
        <w:spacing w:before="0" w:after="0"/>
        <w:jc w:val="left"/>
        <w:rPr>
          <w:rFonts w:ascii="Arial" w:hAnsi="Arial"/>
          <w:color w:val="103140"/>
          <w:sz w:val="20"/>
        </w:rPr>
      </w:pPr>
      <w:r>
        <w:rPr>
          <w:rFonts w:ascii="Arial" w:hAnsi="Arial"/>
          <w:b/>
          <w:color w:val="103140"/>
          <w:sz w:val="20"/>
        </w:rPr>
        <w:t>This</w:t>
      </w:r>
      <w:r>
        <w:rPr>
          <w:rFonts w:ascii="Arial" w:hAnsi="Arial"/>
          <w:color w:val="103140"/>
          <w:sz w:val="20"/>
        </w:rPr>
        <w:t xml:space="preserve"> </w:t>
      </w:r>
      <w:r>
        <w:rPr>
          <w:rFonts w:ascii="Arial" w:hAnsi="Arial"/>
          <w:b/>
          <w:color w:val="103140"/>
          <w:sz w:val="20"/>
        </w:rPr>
        <w:t>proxy</w:t>
      </w:r>
      <w:r>
        <w:rPr>
          <w:rFonts w:ascii="Arial" w:hAnsi="Arial"/>
          <w:color w:val="103140"/>
          <w:sz w:val="20"/>
        </w:rPr>
        <w:t xml:space="preserve"> </w:t>
      </w:r>
      <w:r>
        <w:rPr>
          <w:rFonts w:ascii="Arial" w:hAnsi="Arial"/>
          <w:b/>
          <w:color w:val="103140"/>
          <w:sz w:val="20"/>
        </w:rPr>
        <w:t>is</w:t>
      </w:r>
      <w:r>
        <w:rPr>
          <w:rFonts w:ascii="Arial" w:hAnsi="Arial"/>
          <w:color w:val="103140"/>
          <w:sz w:val="20"/>
        </w:rPr>
        <w:t xml:space="preserve"> </w:t>
      </w:r>
      <w:r>
        <w:rPr>
          <w:rFonts w:ascii="Arial" w:hAnsi="Arial"/>
          <w:b/>
          <w:color w:val="103140"/>
          <w:sz w:val="20"/>
        </w:rPr>
        <w:t>being</w:t>
      </w:r>
      <w:r>
        <w:rPr>
          <w:rFonts w:ascii="Arial" w:hAnsi="Arial"/>
          <w:color w:val="103140"/>
          <w:sz w:val="20"/>
        </w:rPr>
        <w:t xml:space="preserve"> </w:t>
      </w:r>
      <w:r>
        <w:rPr>
          <w:rFonts w:ascii="Arial" w:hAnsi="Arial"/>
          <w:b/>
          <w:color w:val="103140"/>
          <w:sz w:val="20"/>
        </w:rPr>
        <w:t>solicited</w:t>
      </w:r>
      <w:r>
        <w:rPr>
          <w:rFonts w:ascii="Arial" w:hAnsi="Arial"/>
          <w:color w:val="103140"/>
          <w:sz w:val="20"/>
        </w:rPr>
        <w:t xml:space="preserve"> </w:t>
      </w:r>
      <w:r>
        <w:rPr>
          <w:rFonts w:ascii="Arial" w:hAnsi="Arial"/>
          <w:b/>
          <w:color w:val="103140"/>
          <w:sz w:val="20"/>
        </w:rPr>
        <w:t>on</w:t>
      </w:r>
      <w:r>
        <w:rPr>
          <w:rFonts w:ascii="Arial" w:hAnsi="Arial"/>
          <w:color w:val="103140"/>
          <w:sz w:val="20"/>
        </w:rPr>
        <w:t xml:space="preserve"> </w:t>
      </w:r>
      <w:r>
        <w:rPr>
          <w:rFonts w:ascii="Arial" w:hAnsi="Arial"/>
          <w:b/>
          <w:color w:val="103140"/>
          <w:sz w:val="20"/>
        </w:rPr>
        <w:t>behalf</w:t>
      </w:r>
      <w:r>
        <w:rPr>
          <w:rFonts w:ascii="Arial" w:hAnsi="Arial"/>
          <w:color w:val="103140"/>
          <w:sz w:val="20"/>
        </w:rPr>
        <w:t xml:space="preserve"> </w:t>
      </w:r>
      <w:r>
        <w:rPr>
          <w:rFonts w:ascii="Arial" w:hAnsi="Arial"/>
          <w:b/>
          <w:color w:val="103140"/>
          <w:sz w:val="20"/>
        </w:rPr>
        <w:t>of</w:t>
      </w:r>
      <w:r>
        <w:rPr>
          <w:rFonts w:ascii="Arial" w:hAnsi="Arial"/>
          <w:color w:val="103140"/>
          <w:sz w:val="20"/>
        </w:rPr>
        <w:t xml:space="preserve"> </w:t>
      </w:r>
      <w:r>
        <w:rPr>
          <w:rFonts w:ascii="Arial" w:hAnsi="Arial"/>
          <w:b/>
          <w:color w:val="103140"/>
          <w:sz w:val="20"/>
        </w:rPr>
        <w:t>the</w:t>
      </w:r>
      <w:r>
        <w:rPr>
          <w:rFonts w:ascii="Arial" w:hAnsi="Arial"/>
          <w:color w:val="103140"/>
          <w:sz w:val="20"/>
        </w:rPr>
        <w:t xml:space="preserve"> </w:t>
      </w:r>
      <w:r>
        <w:rPr>
          <w:rFonts w:ascii="Arial" w:hAnsi="Arial"/>
          <w:b/>
          <w:color w:val="103140"/>
          <w:sz w:val="20"/>
        </w:rPr>
        <w:t>Board</w:t>
      </w:r>
      <w:r>
        <w:rPr>
          <w:rFonts w:ascii="Arial" w:hAnsi="Arial"/>
          <w:color w:val="103140"/>
          <w:sz w:val="20"/>
        </w:rPr>
        <w:t xml:space="preserve"> </w:t>
      </w:r>
      <w:r>
        <w:rPr>
          <w:rFonts w:ascii="Arial" w:hAnsi="Arial"/>
          <w:b/>
          <w:color w:val="103140"/>
          <w:sz w:val="20"/>
        </w:rPr>
        <w:t>of</w:t>
      </w:r>
      <w:r>
        <w:rPr>
          <w:rFonts w:ascii="Arial" w:hAnsi="Arial"/>
          <w:color w:val="103140"/>
          <w:sz w:val="20"/>
        </w:rPr>
        <w:t xml:space="preserve"> </w:t>
      </w:r>
      <w:r>
        <w:rPr>
          <w:rFonts w:ascii="Arial" w:hAnsi="Arial"/>
          <w:b/>
          <w:color w:val="103140"/>
          <w:sz w:val="20"/>
        </w:rPr>
        <w:t>Directors</w:t>
      </w:r>
      <w:r>
        <w:rPr>
          <w:rFonts w:ascii="Arial" w:hAnsi="Arial"/>
          <w:color w:val="103140"/>
          <w:sz w:val="20"/>
        </w:rPr>
        <w:t xml:space="preserve"> </w:t>
      </w:r>
    </w:p>
    <w:p>
      <w:pPr>
        <w:pStyle w:val="TextBody"/>
        <w:bidi w:val="0"/>
        <w:spacing w:before="40" w:after="0"/>
        <w:jc w:val="left"/>
        <w:rPr>
          <w:rFonts w:ascii="Arial" w:hAnsi="Arial"/>
          <w:sz w:val="16"/>
        </w:rPr>
      </w:pPr>
      <w:r>
        <w:rPr>
          <w:rFonts w:ascii="Arial" w:hAnsi="Arial"/>
          <w:sz w:val="16"/>
        </w:rPr>
        <w:t xml:space="preserve">The undersigned hereby appoints Jonathan Violin and Mark Vignola (the “Named Proxies”), and each or either of them, as the true and lawful attorneys of the undersigned, with full power of substitution and revocation, and authorizes them, and each of them, to vote all the shares of capital stock of Korsana Biosciences,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84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984"/>
        <w:gridCol w:w="120"/>
        <w:gridCol w:w="7101"/>
      </w:tblGrid>
      <w:tr>
        <w:trPr/>
        <w:tc>
          <w:tcPr>
            <w:tcW w:w="29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01" w:type="dxa"/>
            <w:tcBorders/>
            <w:vAlign w:val="center"/>
          </w:tcPr>
          <w:p>
            <w:pPr>
              <w:pStyle w:val="TableContents"/>
              <w:bidi w:val="0"/>
              <w:spacing w:before="0" w:after="283"/>
              <w:jc w:val="left"/>
              <w:rPr>
                <w:sz w:val="4"/>
                <w:szCs w:val="4"/>
              </w:rPr>
            </w:pPr>
            <w:r>
              <w:rPr>
                <w:sz w:val="4"/>
                <w:szCs w:val="4"/>
              </w:rPr>
            </w:r>
          </w:p>
        </w:tc>
      </w:tr>
      <w:tr>
        <w:trPr/>
        <w:tc>
          <w:tcPr>
            <w:tcW w:w="2984" w:type="dxa"/>
            <w:tcBorders/>
          </w:tcPr>
          <w:p>
            <w:pPr>
              <w:pStyle w:val="TableContents"/>
              <w:bidi w:val="0"/>
              <w:spacing w:before="0" w:after="283"/>
              <w:jc w:val="left"/>
              <w:rPr/>
            </w:pPr>
            <w:r>
              <w:rPr/>
              <w:drawing>
                <wp:inline distT="0" distB="0" distL="0" distR="0">
                  <wp:extent cx="904875" cy="247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 cy="2476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right"/>
              <w:rPr>
                <w:b/>
                <w:color w:val="103140"/>
              </w:rPr>
            </w:pPr>
            <w:r>
              <w:rPr>
                <w:b/>
                <w:color w:val="103140"/>
              </w:rPr>
              <w:t>Korsana Biosciences, Inc. Special Meeting of Shareholders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05"/>
        <w:gridCol w:w="147"/>
        <w:gridCol w:w="6653"/>
      </w:tblGrid>
      <w:tr>
        <w:trPr/>
        <w:tc>
          <w:tcPr>
            <w:tcW w:w="340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653" w:type="dxa"/>
            <w:tcBorders/>
            <w:vAlign w:val="center"/>
          </w:tcPr>
          <w:p>
            <w:pPr>
              <w:pStyle w:val="TableContents"/>
              <w:bidi w:val="0"/>
              <w:spacing w:before="0" w:after="283"/>
              <w:jc w:val="left"/>
              <w:rPr>
                <w:sz w:val="4"/>
                <w:szCs w:val="4"/>
              </w:rPr>
            </w:pPr>
            <w:r>
              <w:rPr>
                <w:sz w:val="4"/>
                <w:szCs w:val="4"/>
              </w:rPr>
            </w:r>
          </w:p>
        </w:tc>
      </w:tr>
      <w:tr>
        <w:trPr/>
        <w:tc>
          <w:tcPr>
            <w:tcW w:w="3405" w:type="dxa"/>
            <w:tcBorders/>
            <w:vAlign w:val="center"/>
          </w:tcPr>
          <w:p>
            <w:pPr>
              <w:pStyle w:val="TableContents"/>
              <w:bidi w:val="0"/>
              <w:spacing w:before="0" w:after="283"/>
              <w:jc w:val="left"/>
              <w:rPr>
                <w:b/>
              </w:rPr>
            </w:pPr>
            <w:r>
              <w:rPr>
                <w:b/>
              </w:rPr>
              <w:t>Please make your marks like this:</w:t>
            </w:r>
          </w:p>
        </w:tc>
        <w:tc>
          <w:tcPr>
            <w:tcW w:w="147" w:type="dxa"/>
            <w:tcBorders/>
            <w:vAlign w:val="bottom"/>
          </w:tcPr>
          <w:p>
            <w:pPr>
              <w:pStyle w:val="TableContents"/>
              <w:bidi w:val="0"/>
              <w:spacing w:before="0" w:after="283"/>
              <w:jc w:val="left"/>
              <w:rPr/>
            </w:pPr>
            <w:r>
              <w:rPr/>
              <w:t>  </w:t>
            </w:r>
          </w:p>
        </w:tc>
        <w:tc>
          <w:tcPr>
            <w:tcW w:w="6653" w:type="dxa"/>
            <w:tcBorders/>
          </w:tcPr>
          <w:p>
            <w:pPr>
              <w:pStyle w:val="TableContents"/>
              <w:bidi w:val="0"/>
              <w:spacing w:before="0" w:after="283"/>
              <w:jc w:val="left"/>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r>
              <w:rPr/>
              <w:t xml:space="preserve"> </w:t>
            </w:r>
          </w:p>
        </w:tc>
      </w:tr>
    </w:tbl>
    <w:p>
      <w:pPr>
        <w:pStyle w:val="TextBody"/>
        <w:bidi w:val="0"/>
        <w:spacing w:before="240" w:after="0"/>
        <w:jc w:val="left"/>
        <w:rPr>
          <w:rFonts w:ascii="Arial" w:hAnsi="Arial"/>
          <w:sz w:val="16"/>
        </w:rPr>
      </w:pPr>
      <w:r>
        <w:rPr>
          <w:rFonts w:ascii="Arial" w:hAnsi="Arial"/>
          <w:b/>
          <w:sz w:val="16"/>
        </w:rPr>
        <w:t>THE</w:t>
      </w:r>
      <w:r>
        <w:rPr>
          <w:rFonts w:ascii="Arial" w:hAnsi="Arial"/>
          <w:sz w:val="16"/>
        </w:rPr>
        <w:t xml:space="preserve"> </w:t>
      </w:r>
      <w:r>
        <w:rPr>
          <w:rFonts w:ascii="Arial" w:hAnsi="Arial"/>
          <w:b/>
          <w:sz w:val="16"/>
        </w:rPr>
        <w:t>BOARD</w:t>
      </w:r>
      <w:r>
        <w:rPr>
          <w:rFonts w:ascii="Arial" w:hAnsi="Arial"/>
          <w:sz w:val="16"/>
        </w:rPr>
        <w:t xml:space="preserve"> </w:t>
      </w:r>
      <w:r>
        <w:rPr>
          <w:rFonts w:ascii="Arial" w:hAnsi="Arial"/>
          <w:b/>
          <w:sz w:val="16"/>
        </w:rPr>
        <w:t>OF</w:t>
      </w:r>
      <w:r>
        <w:rPr>
          <w:rFonts w:ascii="Arial" w:hAnsi="Arial"/>
          <w:sz w:val="16"/>
        </w:rPr>
        <w:t xml:space="preserve"> </w:t>
      </w:r>
      <w:r>
        <w:rPr>
          <w:rFonts w:ascii="Arial" w:hAnsi="Arial"/>
          <w:b/>
          <w:sz w:val="16"/>
        </w:rPr>
        <w:t>DIRECTORS</w:t>
      </w:r>
      <w:r>
        <w:rPr>
          <w:rFonts w:ascii="Arial" w:hAnsi="Arial"/>
          <w:sz w:val="16"/>
        </w:rPr>
        <w:t xml:space="preserve"> </w:t>
      </w:r>
      <w:r>
        <w:rPr>
          <w:rFonts w:ascii="Arial" w:hAnsi="Arial"/>
          <w:b/>
          <w:sz w:val="16"/>
        </w:rPr>
        <w:t>RECOMMENDS</w:t>
      </w:r>
      <w:r>
        <w:rPr>
          <w:rFonts w:ascii="Arial" w:hAnsi="Arial"/>
          <w:sz w:val="16"/>
        </w:rPr>
        <w:t xml:space="preserve"> </w:t>
      </w:r>
      <w:r>
        <w:rPr>
          <w:rFonts w:ascii="Arial" w:hAnsi="Arial"/>
          <w:b/>
          <w:sz w:val="16"/>
        </w:rPr>
        <w:t>A</w:t>
      </w:r>
      <w:r>
        <w:rPr>
          <w:rFonts w:ascii="Arial" w:hAnsi="Arial"/>
          <w:sz w:val="16"/>
        </w:rPr>
        <w:t xml:space="preserve"> </w:t>
      </w:r>
      <w:r>
        <w:rPr>
          <w:rFonts w:ascii="Arial" w:hAnsi="Arial"/>
          <w:b/>
          <w:sz w:val="16"/>
        </w:rPr>
        <w:t>VOTE:</w:t>
      </w:r>
      <w:r>
        <w:rPr>
          <w:rFonts w:ascii="Arial" w:hAnsi="Arial"/>
          <w:sz w:val="16"/>
        </w:rPr>
        <w:t xml:space="preserve"> </w:t>
      </w:r>
    </w:p>
    <w:p>
      <w:pPr>
        <w:pStyle w:val="TextBody"/>
        <w:bidi w:val="0"/>
        <w:spacing w:before="0" w:after="0"/>
        <w:jc w:val="left"/>
        <w:rPr>
          <w:rFonts w:ascii="Arial" w:hAnsi="Arial"/>
          <w:sz w:val="16"/>
        </w:rPr>
      </w:pPr>
      <w:r>
        <w:rPr>
          <w:rFonts w:ascii="Arial" w:hAnsi="Arial"/>
          <w:b/>
          <w:sz w:val="16"/>
        </w:rPr>
        <w:t xml:space="preserve">FOR </w:t>
      </w:r>
      <w:r>
        <w:rPr>
          <w:rFonts w:ascii="Arial" w:hAnsi="Arial"/>
          <w:sz w:val="16"/>
        </w:rPr>
        <w:t xml:space="preserve">ON PROPOSALS 1, 2 AND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97"/>
        <w:gridCol w:w="105"/>
        <w:gridCol w:w="804"/>
        <w:gridCol w:w="105"/>
        <w:gridCol w:w="1134"/>
        <w:gridCol w:w="105"/>
        <w:gridCol w:w="1126"/>
        <w:gridCol w:w="138"/>
        <w:gridCol w:w="1091"/>
      </w:tblGrid>
      <w:tr>
        <w:trPr/>
        <w:tc>
          <w:tcPr>
            <w:tcW w:w="559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5597" w:type="dxa"/>
            <w:tcBorders/>
            <w:shd w:fill="E5E5E5" w:val="clear"/>
            <w:vAlign w:val="bottom"/>
          </w:tcPr>
          <w:p>
            <w:pPr>
              <w:pStyle w:val="TableContents"/>
              <w:bidi w:val="0"/>
              <w:spacing w:before="0" w:after="0"/>
              <w:jc w:val="left"/>
              <w:rPr>
                <w:rFonts w:ascii="Arial" w:hAnsi="Arial"/>
                <w:b/>
                <w:sz w:val="12"/>
              </w:rPr>
            </w:pPr>
            <w:r>
              <w:rPr>
                <w:rFonts w:ascii="Arial" w:hAnsi="Arial"/>
                <w:b/>
                <w:sz w:val="12"/>
              </w:rPr>
              <w:t>PROPOSAL</w:t>
            </w:r>
          </w:p>
          <w:p>
            <w:pPr>
              <w:pStyle w:val="TableContents"/>
              <w:bidi w:val="0"/>
              <w:spacing w:before="0" w:after="20"/>
              <w:jc w:val="left"/>
              <w:rPr/>
            </w:pPr>
            <w:r>
              <w:rPr/>
              <w:t> </w:t>
            </w:r>
          </w:p>
        </w:tc>
        <w:tc>
          <w:tcPr>
            <w:tcW w:w="105" w:type="dxa"/>
            <w:tcBorders/>
            <w:shd w:fill="E5E5E5" w:val="clear"/>
            <w:vAlign w:val="bottom"/>
          </w:tcPr>
          <w:p>
            <w:pPr>
              <w:pStyle w:val="TableContents"/>
              <w:bidi w:val="0"/>
              <w:spacing w:before="0" w:after="283"/>
              <w:jc w:val="left"/>
              <w:rPr/>
            </w:pPr>
            <w:r>
              <w:rPr/>
              <w:t> </w:t>
            </w:r>
          </w:p>
        </w:tc>
        <w:tc>
          <w:tcPr>
            <w:tcW w:w="3274" w:type="dxa"/>
            <w:gridSpan w:val="5"/>
            <w:tcBorders/>
            <w:shd w:fill="E5E5E5" w:val="clear"/>
            <w:vAlign w:val="bottom"/>
          </w:tcPr>
          <w:p>
            <w:pPr>
              <w:pStyle w:val="TableContents"/>
              <w:bidi w:val="0"/>
              <w:spacing w:before="0" w:after="0"/>
              <w:jc w:val="center"/>
              <w:rPr>
                <w:rFonts w:ascii="Arial" w:hAnsi="Arial"/>
                <w:b/>
                <w:sz w:val="12"/>
              </w:rPr>
            </w:pPr>
            <w:r>
              <w:rPr>
                <w:rFonts w:ascii="Arial" w:hAnsi="Arial"/>
                <w:b/>
                <w:sz w:val="12"/>
              </w:rPr>
              <w:t>YOUR VOTE</w:t>
            </w:r>
          </w:p>
          <w:p>
            <w:pPr>
              <w:pStyle w:val="TableContents"/>
              <w:bidi w:val="0"/>
              <w:spacing w:before="0" w:after="20"/>
              <w:jc w:val="left"/>
              <w:rPr/>
            </w:pPr>
            <w:r>
              <w:rPr/>
              <w:t> </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091" w:type="dxa"/>
            <w:tcBorders/>
          </w:tcPr>
          <w:p>
            <w:pPr>
              <w:pStyle w:val="TableContents"/>
              <w:bidi w:val="0"/>
              <w:spacing w:before="0" w:after="0"/>
              <w:jc w:val="left"/>
              <w:rPr/>
            </w:pPr>
            <w:r>
              <w:rPr/>
              <w:t> </w:t>
            </w:r>
          </w:p>
          <w:p>
            <w:pPr>
              <w:pStyle w:val="TableContents"/>
              <w:bidi w:val="0"/>
              <w:spacing w:before="0" w:after="0"/>
              <w:jc w:val="center"/>
              <w:rPr>
                <w:rFonts w:ascii="Arial" w:hAnsi="Arial"/>
                <w:b/>
                <w:sz w:val="12"/>
              </w:rPr>
            </w:pPr>
            <w:r>
              <w:rPr>
                <w:rFonts w:ascii="Arial" w:hAnsi="Arial"/>
                <w:b/>
                <w:sz w:val="12"/>
              </w:rPr>
              <w:t>BOARD OF</w:t>
            </w:r>
          </w:p>
          <w:p>
            <w:pPr>
              <w:pStyle w:val="TableContents"/>
              <w:bidi w:val="0"/>
              <w:spacing w:before="0" w:after="0"/>
              <w:jc w:val="center"/>
              <w:rPr>
                <w:rFonts w:ascii="Arial" w:hAnsi="Arial"/>
                <w:b/>
                <w:sz w:val="12"/>
              </w:rPr>
            </w:pPr>
            <w:r>
              <w:rPr>
                <w:rFonts w:ascii="Arial" w:hAnsi="Arial"/>
                <w:b/>
                <w:sz w:val="12"/>
              </w:rPr>
              <w:t>DIRECTORS</w:t>
            </w:r>
          </w:p>
          <w:p>
            <w:pPr>
              <w:pStyle w:val="TableContents"/>
              <w:bidi w:val="0"/>
              <w:spacing w:before="0" w:after="0"/>
              <w:jc w:val="center"/>
              <w:rPr>
                <w:rFonts w:ascii="Arial" w:hAnsi="Arial"/>
                <w:b/>
                <w:sz w:val="12"/>
              </w:rPr>
            </w:pPr>
            <w:r>
              <w:rPr>
                <w:rFonts w:ascii="Arial" w:hAnsi="Arial"/>
                <w:b/>
                <w:sz w:val="12"/>
              </w:rPr>
              <w:t>RECOMMENDS</w:t>
            </w:r>
          </w:p>
          <w:p>
            <w:pPr>
              <w:pStyle w:val="TableContents"/>
              <w:bidi w:val="0"/>
              <w:spacing w:before="0" w:after="20"/>
              <w:jc w:val="left"/>
              <w:rPr/>
            </w:pPr>
            <w:r>
              <w:rPr/>
              <w:t> </w:t>
            </w:r>
          </w:p>
        </w:tc>
      </w:tr>
      <w:tr>
        <w:trPr>
          <w:trHeight w:val="60" w:hRule="atLeast"/>
        </w:trPr>
        <w:tc>
          <w:tcPr>
            <w:tcW w:w="5597" w:type="dxa"/>
            <w:tcBorders/>
            <w:vAlign w:val="center"/>
          </w:tcPr>
          <w:p>
            <w:pPr>
              <w:pStyle w:val="TableContents"/>
              <w:bidi w:val="0"/>
              <w:spacing w:before="0" w:after="283"/>
              <w:jc w:val="left"/>
              <w:rPr>
                <w:sz w:val="4"/>
                <w:szCs w:val="4"/>
              </w:rPr>
            </w:pPr>
            <w:r>
              <w:rPr>
                <w:sz w:val="4"/>
                <w:szCs w:val="4"/>
              </w:rPr>
            </w:r>
          </w:p>
        </w:tc>
        <w:tc>
          <w:tcPr>
            <w:tcW w:w="909" w:type="dxa"/>
            <w:gridSpan w:val="2"/>
            <w:tcBorders/>
            <w:vAlign w:val="center"/>
          </w:tcPr>
          <w:p>
            <w:pPr>
              <w:pStyle w:val="TableContents"/>
              <w:bidi w:val="0"/>
              <w:spacing w:before="0" w:after="283"/>
              <w:jc w:val="left"/>
              <w:rPr>
                <w:sz w:val="4"/>
                <w:szCs w:val="4"/>
              </w:rPr>
            </w:pPr>
            <w:r>
              <w:rPr>
                <w:sz w:val="4"/>
                <w:szCs w:val="4"/>
              </w:rPr>
            </w:r>
          </w:p>
        </w:tc>
        <w:tc>
          <w:tcPr>
            <w:tcW w:w="1239" w:type="dxa"/>
            <w:gridSpan w:val="2"/>
            <w:tcBorders/>
            <w:vAlign w:val="center"/>
          </w:tcPr>
          <w:p>
            <w:pPr>
              <w:pStyle w:val="TableContents"/>
              <w:bidi w:val="0"/>
              <w:spacing w:before="0" w:after="283"/>
              <w:jc w:val="left"/>
              <w:rPr>
                <w:sz w:val="4"/>
                <w:szCs w:val="4"/>
              </w:rPr>
            </w:pPr>
            <w:r>
              <w:rPr>
                <w:sz w:val="4"/>
                <w:szCs w:val="4"/>
              </w:rPr>
            </w:r>
          </w:p>
        </w:tc>
        <w:tc>
          <w:tcPr>
            <w:tcW w:w="1231" w:type="dxa"/>
            <w:gridSpan w:val="2"/>
            <w:tcBorders/>
            <w:vAlign w:val="center"/>
          </w:tcPr>
          <w:p>
            <w:pPr>
              <w:pStyle w:val="TableContents"/>
              <w:bidi w:val="0"/>
              <w:spacing w:before="0" w:after="283"/>
              <w:jc w:val="left"/>
              <w:rPr>
                <w:sz w:val="4"/>
                <w:szCs w:val="4"/>
              </w:rPr>
            </w:pPr>
            <w:r>
              <w:rPr>
                <w:sz w:val="4"/>
                <w:szCs w:val="4"/>
              </w:rPr>
            </w:r>
          </w:p>
        </w:tc>
        <w:tc>
          <w:tcPr>
            <w:tcW w:w="1229"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5597"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center"/>
              <w:rPr>
                <w:b/>
              </w:rPr>
            </w:pPr>
            <w:r>
              <w:rPr>
                <w:b/>
              </w:rPr>
              <w:t>FOR</w:t>
            </w:r>
          </w:p>
        </w:tc>
        <w:tc>
          <w:tcPr>
            <w:tcW w:w="105"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center"/>
              <w:rPr>
                <w:b/>
              </w:rPr>
            </w:pPr>
            <w:r>
              <w:rPr>
                <w:b/>
              </w:rPr>
              <w:t>AGAINST</w:t>
            </w:r>
          </w:p>
        </w:tc>
        <w:tc>
          <w:tcPr>
            <w:tcW w:w="105"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center"/>
              <w:rPr>
                <w:b/>
              </w:rPr>
            </w:pPr>
            <w:r>
              <w:rPr>
                <w:b/>
              </w:rPr>
              <w:t>ABSTAIN</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091" w:type="dxa"/>
            <w:tcBorders/>
          </w:tcPr>
          <w:p>
            <w:pPr>
              <w:pStyle w:val="TableContents"/>
              <w:bidi w:val="0"/>
              <w:spacing w:before="0" w:after="283"/>
              <w:jc w:val="left"/>
              <w:rPr>
                <w:sz w:val="4"/>
                <w:szCs w:val="4"/>
              </w:rPr>
            </w:pPr>
            <w:r>
              <w:rPr>
                <w:sz w:val="4"/>
                <w:szCs w:val="4"/>
              </w:rPr>
            </w:r>
          </w:p>
        </w:tc>
      </w:tr>
      <w:tr>
        <w:trPr/>
        <w:tc>
          <w:tcPr>
            <w:tcW w:w="5597" w:type="dxa"/>
            <w:tcBorders/>
          </w:tcPr>
          <w:p>
            <w:pPr>
              <w:pStyle w:val="TableContents"/>
              <w:bidi w:val="0"/>
              <w:spacing w:before="0" w:after="0"/>
              <w:jc w:val="left"/>
              <w:rPr>
                <w:rFonts w:ascii="Arial" w:hAnsi="Arial"/>
                <w:sz w:val="16"/>
              </w:rPr>
            </w:pPr>
            <w:r>
              <w:rPr>
                <w:rFonts w:ascii="Arial" w:hAnsi="Arial"/>
                <w:sz w:val="16"/>
              </w:rPr>
              <w:t>1.  To approve the redomestication of Korsana from the Commonwealth of Massachusetts to the Cayman Islands by domestication and to adopt the Redomestication Resolutions, attached as Annex E to accompanying proxy statement.</w:t>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center"/>
              <w:rPr/>
            </w:pPr>
            <w:r>
              <w:rPr/>
              <w:t>☐</w:t>
            </w:r>
          </w:p>
        </w:tc>
        <w:tc>
          <w:tcPr>
            <w:tcW w:w="105"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center"/>
              <w:rPr/>
            </w:pPr>
            <w:r>
              <w:rPr/>
              <w:t>☐</w:t>
            </w:r>
          </w:p>
        </w:tc>
        <w:tc>
          <w:tcPr>
            <w:tcW w:w="105"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center"/>
              <w:rPr/>
            </w:pPr>
            <w:r>
              <w:rPr/>
              <w:t>☐</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091" w:type="dxa"/>
            <w:tcBorders/>
          </w:tcPr>
          <w:p>
            <w:pPr>
              <w:pStyle w:val="TableContents"/>
              <w:bidi w:val="0"/>
              <w:spacing w:before="0" w:after="283"/>
              <w:jc w:val="center"/>
              <w:rPr>
                <w:b/>
              </w:rPr>
            </w:pPr>
            <w:r>
              <w:rPr>
                <w:b/>
              </w:rPr>
              <w:t>FOR</w:t>
            </w:r>
          </w:p>
        </w:tc>
      </w:tr>
      <w:tr>
        <w:trPr>
          <w:trHeight w:val="120" w:hRule="atLeast"/>
        </w:trPr>
        <w:tc>
          <w:tcPr>
            <w:tcW w:w="5597" w:type="dxa"/>
            <w:tcBorders/>
            <w:vAlign w:val="center"/>
          </w:tcPr>
          <w:p>
            <w:pPr>
              <w:pStyle w:val="TableContents"/>
              <w:bidi w:val="0"/>
              <w:spacing w:before="0" w:after="283"/>
              <w:jc w:val="left"/>
              <w:rPr>
                <w:sz w:val="4"/>
                <w:szCs w:val="4"/>
              </w:rPr>
            </w:pPr>
            <w:r>
              <w:rPr>
                <w:sz w:val="4"/>
                <w:szCs w:val="4"/>
              </w:rPr>
            </w:r>
          </w:p>
        </w:tc>
        <w:tc>
          <w:tcPr>
            <w:tcW w:w="909" w:type="dxa"/>
            <w:gridSpan w:val="2"/>
            <w:tcBorders/>
            <w:vAlign w:val="center"/>
          </w:tcPr>
          <w:p>
            <w:pPr>
              <w:pStyle w:val="TableContents"/>
              <w:bidi w:val="0"/>
              <w:spacing w:before="0" w:after="283"/>
              <w:jc w:val="left"/>
              <w:rPr>
                <w:sz w:val="4"/>
                <w:szCs w:val="4"/>
              </w:rPr>
            </w:pPr>
            <w:r>
              <w:rPr>
                <w:sz w:val="4"/>
                <w:szCs w:val="4"/>
              </w:rPr>
            </w:r>
          </w:p>
        </w:tc>
        <w:tc>
          <w:tcPr>
            <w:tcW w:w="1239" w:type="dxa"/>
            <w:gridSpan w:val="2"/>
            <w:tcBorders/>
            <w:vAlign w:val="center"/>
          </w:tcPr>
          <w:p>
            <w:pPr>
              <w:pStyle w:val="TableContents"/>
              <w:bidi w:val="0"/>
              <w:spacing w:before="0" w:after="283"/>
              <w:jc w:val="left"/>
              <w:rPr>
                <w:sz w:val="4"/>
                <w:szCs w:val="4"/>
              </w:rPr>
            </w:pPr>
            <w:r>
              <w:rPr>
                <w:sz w:val="4"/>
                <w:szCs w:val="4"/>
              </w:rPr>
            </w:r>
          </w:p>
        </w:tc>
        <w:tc>
          <w:tcPr>
            <w:tcW w:w="1231" w:type="dxa"/>
            <w:gridSpan w:val="2"/>
            <w:tcBorders/>
            <w:vAlign w:val="center"/>
          </w:tcPr>
          <w:p>
            <w:pPr>
              <w:pStyle w:val="TableContents"/>
              <w:bidi w:val="0"/>
              <w:spacing w:before="0" w:after="283"/>
              <w:jc w:val="left"/>
              <w:rPr>
                <w:sz w:val="4"/>
                <w:szCs w:val="4"/>
              </w:rPr>
            </w:pPr>
            <w:r>
              <w:rPr>
                <w:sz w:val="4"/>
                <w:szCs w:val="4"/>
              </w:rPr>
            </w:r>
          </w:p>
        </w:tc>
        <w:tc>
          <w:tcPr>
            <w:tcW w:w="1229"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5597" w:type="dxa"/>
            <w:tcBorders/>
          </w:tcPr>
          <w:p>
            <w:pPr>
              <w:pStyle w:val="TableContents"/>
              <w:bidi w:val="0"/>
              <w:spacing w:before="0" w:after="0"/>
              <w:jc w:val="left"/>
              <w:rPr>
                <w:rFonts w:ascii="Arial" w:hAnsi="Arial"/>
                <w:sz w:val="16"/>
              </w:rPr>
            </w:pPr>
            <w:r>
              <w:rPr>
                <w:rFonts w:ascii="Arial" w:hAnsi="Arial"/>
                <w:sz w:val="16"/>
              </w:rPr>
              <w:t>2.  To approve (i) the redomestication of Korsana from the Commonwealth of Massachusetts to the Cayman Islands by way of continuation and the approval of the Redomestication Resolutions and (ii) as a special resolution for the purposes of Cayman Islands law, the adoption of the memorandum and articles of association of Korsana, substantially in the form attached as Annex B to the accompanying proxy statement.</w:t>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center"/>
              <w:rPr/>
            </w:pPr>
            <w:r>
              <w:rPr/>
              <w:t>☐</w:t>
            </w:r>
          </w:p>
        </w:tc>
        <w:tc>
          <w:tcPr>
            <w:tcW w:w="105"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center"/>
              <w:rPr/>
            </w:pPr>
            <w:r>
              <w:rPr/>
              <w:t>☐</w:t>
            </w:r>
          </w:p>
        </w:tc>
        <w:tc>
          <w:tcPr>
            <w:tcW w:w="105"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center"/>
              <w:rPr/>
            </w:pPr>
            <w:r>
              <w:rPr/>
              <w:t>☐</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091" w:type="dxa"/>
            <w:tcBorders/>
          </w:tcPr>
          <w:p>
            <w:pPr>
              <w:pStyle w:val="TableContents"/>
              <w:bidi w:val="0"/>
              <w:spacing w:before="0" w:after="283"/>
              <w:jc w:val="center"/>
              <w:rPr>
                <w:b/>
              </w:rPr>
            </w:pPr>
            <w:r>
              <w:rPr>
                <w:b/>
              </w:rPr>
              <w:t>FOR</w:t>
            </w:r>
          </w:p>
        </w:tc>
      </w:tr>
      <w:tr>
        <w:trPr>
          <w:trHeight w:val="120" w:hRule="atLeast"/>
        </w:trPr>
        <w:tc>
          <w:tcPr>
            <w:tcW w:w="5597" w:type="dxa"/>
            <w:tcBorders/>
            <w:vAlign w:val="center"/>
          </w:tcPr>
          <w:p>
            <w:pPr>
              <w:pStyle w:val="TableContents"/>
              <w:bidi w:val="0"/>
              <w:spacing w:before="0" w:after="283"/>
              <w:jc w:val="left"/>
              <w:rPr>
                <w:sz w:val="4"/>
                <w:szCs w:val="4"/>
              </w:rPr>
            </w:pPr>
            <w:r>
              <w:rPr>
                <w:sz w:val="4"/>
                <w:szCs w:val="4"/>
              </w:rPr>
            </w:r>
          </w:p>
        </w:tc>
        <w:tc>
          <w:tcPr>
            <w:tcW w:w="909" w:type="dxa"/>
            <w:gridSpan w:val="2"/>
            <w:tcBorders/>
            <w:vAlign w:val="center"/>
          </w:tcPr>
          <w:p>
            <w:pPr>
              <w:pStyle w:val="TableContents"/>
              <w:bidi w:val="0"/>
              <w:spacing w:before="0" w:after="283"/>
              <w:jc w:val="left"/>
              <w:rPr>
                <w:sz w:val="4"/>
                <w:szCs w:val="4"/>
              </w:rPr>
            </w:pPr>
            <w:r>
              <w:rPr>
                <w:sz w:val="4"/>
                <w:szCs w:val="4"/>
              </w:rPr>
            </w:r>
          </w:p>
        </w:tc>
        <w:tc>
          <w:tcPr>
            <w:tcW w:w="1239" w:type="dxa"/>
            <w:gridSpan w:val="2"/>
            <w:tcBorders/>
            <w:vAlign w:val="center"/>
          </w:tcPr>
          <w:p>
            <w:pPr>
              <w:pStyle w:val="TableContents"/>
              <w:bidi w:val="0"/>
              <w:spacing w:before="0" w:after="283"/>
              <w:jc w:val="left"/>
              <w:rPr>
                <w:sz w:val="4"/>
                <w:szCs w:val="4"/>
              </w:rPr>
            </w:pPr>
            <w:r>
              <w:rPr>
                <w:sz w:val="4"/>
                <w:szCs w:val="4"/>
              </w:rPr>
            </w:r>
          </w:p>
        </w:tc>
        <w:tc>
          <w:tcPr>
            <w:tcW w:w="1231" w:type="dxa"/>
            <w:gridSpan w:val="2"/>
            <w:tcBorders/>
            <w:vAlign w:val="center"/>
          </w:tcPr>
          <w:p>
            <w:pPr>
              <w:pStyle w:val="TableContents"/>
              <w:bidi w:val="0"/>
              <w:spacing w:before="0" w:after="283"/>
              <w:jc w:val="left"/>
              <w:rPr>
                <w:sz w:val="4"/>
                <w:szCs w:val="4"/>
              </w:rPr>
            </w:pPr>
            <w:r>
              <w:rPr>
                <w:sz w:val="4"/>
                <w:szCs w:val="4"/>
              </w:rPr>
            </w:r>
          </w:p>
        </w:tc>
        <w:tc>
          <w:tcPr>
            <w:tcW w:w="1229"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5597" w:type="dxa"/>
            <w:tcBorders/>
          </w:tcPr>
          <w:p>
            <w:pPr>
              <w:pStyle w:val="TableContents"/>
              <w:bidi w:val="0"/>
              <w:spacing w:before="0" w:after="0"/>
              <w:jc w:val="left"/>
              <w:rPr>
                <w:rFonts w:ascii="Arial" w:hAnsi="Arial"/>
                <w:sz w:val="16"/>
              </w:rPr>
            </w:pPr>
            <w:r>
              <w:rPr>
                <w:rFonts w:ascii="Arial" w:hAnsi="Arial"/>
                <w:sz w:val="16"/>
              </w:rPr>
              <w:t>3.  To approve one or more adjournments of the Special Meeting, if necessary, to solicit additional proxies if there is not a sufficient number of votes in favor of the Domestication Proposal and the Continuation and Cayman Articles Proposal.</w:t>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center"/>
              <w:rPr/>
            </w:pPr>
            <w:r>
              <w:rPr/>
              <w:t>☐</w:t>
            </w:r>
          </w:p>
        </w:tc>
        <w:tc>
          <w:tcPr>
            <w:tcW w:w="105"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center"/>
              <w:rPr/>
            </w:pPr>
            <w:r>
              <w:rPr/>
              <w:t>☐</w:t>
            </w:r>
          </w:p>
        </w:tc>
        <w:tc>
          <w:tcPr>
            <w:tcW w:w="105"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center"/>
              <w:rPr/>
            </w:pPr>
            <w:r>
              <w:rPr/>
              <w:t>☐</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091" w:type="dxa"/>
            <w:tcBorders/>
          </w:tcPr>
          <w:p>
            <w:pPr>
              <w:pStyle w:val="TableContents"/>
              <w:bidi w:val="0"/>
              <w:spacing w:before="0" w:after="283"/>
              <w:jc w:val="center"/>
              <w:rPr>
                <w:b/>
              </w:rPr>
            </w:pPr>
            <w:r>
              <w:rPr>
                <w:b/>
              </w:rPr>
              <w:t>FOR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left"/>
        <w:rPr>
          <w:rFonts w:ascii="Arial" w:hAnsi="Arial"/>
          <w:sz w:val="16"/>
        </w:rPr>
      </w:pPr>
      <w:r>
        <w:rPr>
          <w:rFonts w:ascii="Arial" w:hAnsi="Arial"/>
          <w:b/>
          <w:sz w:val="16"/>
        </w:rPr>
        <w:t>You must register to attend the meeting online and/or participate at www.proxydocs.com/KRSA</w:t>
      </w:r>
      <w:r>
        <w:rPr>
          <w:rFonts w:ascii="Arial" w:hAnsi="Arial"/>
          <w:sz w:val="16"/>
        </w:rPr>
        <w:t xml:space="preserve"> </w:t>
      </w:r>
    </w:p>
    <w:p>
      <w:pPr>
        <w:pStyle w:val="TextBody"/>
        <w:bidi w:val="0"/>
        <w:spacing w:before="0" w:after="0"/>
        <w:jc w:val="left"/>
        <w:rPr>
          <w:rFonts w:ascii="Arial" w:hAnsi="Arial"/>
          <w:sz w:val="16"/>
        </w:rPr>
      </w:pPr>
      <w:r>
        <w:rPr>
          <w:rFonts w:ascii="Arial" w:hAnsi="Arial"/>
          <w:sz w:val="16"/>
        </w:rPr>
        <w:t xml:space="preserve">Authorized Signatures - Must be completed for your instructions to be executed. </w:t>
      </w:r>
    </w:p>
    <w:p>
      <w:pPr>
        <w:pStyle w:val="TextBody"/>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4"/>
        <w:gridCol w:w="101"/>
        <w:gridCol w:w="1200"/>
        <w:gridCol w:w="134"/>
        <w:gridCol w:w="23"/>
        <w:gridCol w:w="101"/>
        <w:gridCol w:w="4057"/>
        <w:gridCol w:w="101"/>
        <w:gridCol w:w="1204"/>
      </w:tblGrid>
      <w:tr>
        <w:trPr/>
        <w:tc>
          <w:tcPr>
            <w:tcW w:w="328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4585" w:type="dxa"/>
            <w:gridSpan w:val="3"/>
            <w:tcBorders/>
          </w:tcPr>
          <w:p>
            <w:pPr>
              <w:pStyle w:val="TableContents"/>
              <w:pBdr>
                <w:bottom w:val="single" w:sz="2" w:space="1" w:color="000000"/>
              </w:pBdr>
              <w:bidi w:val="0"/>
              <w:spacing w:before="0" w:after="20"/>
              <w:jc w:val="left"/>
              <w:rPr/>
            </w:pPr>
            <w:r>
              <w:rPr/>
              <w:t> </w:t>
            </w:r>
          </w:p>
        </w:tc>
        <w:tc>
          <w:tcPr>
            <w:tcW w:w="134"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362" w:type="dxa"/>
            <w:gridSpan w:val="3"/>
            <w:tcBorders/>
            <w:vAlign w:val="bottom"/>
          </w:tcPr>
          <w:p>
            <w:pPr>
              <w:pStyle w:val="TableContents"/>
              <w:pBdr>
                <w:bottom w:val="single" w:sz="8" w:space="1" w:color="000000"/>
              </w:pBdr>
              <w:bidi w:val="0"/>
              <w:spacing w:before="0" w:after="20"/>
              <w:jc w:val="left"/>
              <w:rPr/>
            </w:pPr>
            <w:r>
              <w:rPr/>
              <w:t> </w:t>
            </w:r>
          </w:p>
        </w:tc>
      </w:tr>
      <w:tr>
        <w:trPr/>
        <w:tc>
          <w:tcPr>
            <w:tcW w:w="3284" w:type="dxa"/>
            <w:tcBorders/>
          </w:tcPr>
          <w:p>
            <w:pPr>
              <w:pStyle w:val="TableContents"/>
              <w:bidi w:val="0"/>
              <w:spacing w:before="0" w:after="283"/>
              <w:jc w:val="left"/>
              <w:rPr/>
            </w:pPr>
            <w:r>
              <w:rPr/>
              <w:t>Signature (and Title if applicable)</w:t>
            </w:r>
          </w:p>
        </w:tc>
        <w:tc>
          <w:tcPr>
            <w:tcW w:w="101"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left"/>
              <w:rPr/>
            </w:pPr>
            <w:r>
              <w:rPr/>
              <w:t>Date   </w:t>
            </w:r>
          </w:p>
        </w:tc>
        <w:tc>
          <w:tcPr>
            <w:tcW w:w="134"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57" w:type="dxa"/>
            <w:tcBorders/>
            <w:vAlign w:val="bottom"/>
          </w:tcPr>
          <w:p>
            <w:pPr>
              <w:pStyle w:val="TableContents"/>
              <w:bidi w:val="0"/>
              <w:spacing w:before="0" w:after="283"/>
              <w:jc w:val="left"/>
              <w:rPr/>
            </w:pPr>
            <w:r>
              <w:rPr/>
              <w:t>Signature (if held jointly)</w:t>
            </w:r>
          </w:p>
        </w:tc>
        <w:tc>
          <w:tcPr>
            <w:tcW w:w="1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pPr>
            <w:r>
              <w:rPr/>
              <w:t>Date   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2.jpeg"/><Relationship Id="rId12" Type="http://schemas.openxmlformats.org/officeDocument/2006/relationships/image" Target="media/image9.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153</Pages>
  <Words>75056</Words>
  <Characters>390253</Characters>
  <CharactersWithSpaces>465986</CharactersWithSpaces>
  <Paragraphs>3293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