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Gottesdiener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KORSANA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203 CRESCENT STREET, SUITE 503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Korsana Biosciences, Inc.</w:t>
              </w:r>
            </w:hyperlink>
            <w:r>
              <w:rPr/>
              <w:t xml:space="preserve"> [ </w:t>
            </w:r>
            <w:r>
              <w:rPr>
                <w:rFonts w:ascii="Times;serif" w:hAnsi="Times;serif"/>
                <w:color w:val="0000FF"/>
                <w:sz w:val="24"/>
                <w:shd w:fill="FFFFFF" w:val="clear"/>
              </w:rPr>
              <w:t>KRSA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48,445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48,445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the right to purchase 48,445 shares of the Issuer's common stock and will vest in equal monthly installments through September 9, 2029, subject to the Reporting Person's continued service to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Under an agreement between the Reporting Person and Venrock Management, LLC (the "Management Company"), the Reporting Person is deemed to hold the reported option and the shares underlying the option for the sole benefit of the Management Company and must exercise the reported option solely upon the direction of the Management Company, which is entitled to the shares underlying the option. The Management Company may be deemed the indirect beneficial owner of the shares underlying the option, and the Reporting Person may be deemed the indirect beneficial owner of the reported shares underlying the option through his interest in the Management Company. The Reporting Person disclaims beneficial ownership of the reported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Vignola, as attorney-in-fact for Andrew Gottesdiener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2292" TargetMode="External"/><Relationship Id="rId5" Type="http://schemas.openxmlformats.org/officeDocument/2006/relationships/hyperlink" Target="http://www.sec.gov/cgi-bin/browse-edgar?action=getcompany&amp;CIK=00017552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4047</Characters>
  <CharactersWithSpaces>4714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