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Pernice Michelle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28,805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to purchase shares of the Issuer's common stock received by the Reporting Person in the Merger in exchange for options of Pre-Merger Korsana held by the Reporting Person prior to the Merger. This option vested as to 25% on November 8, 2025 and vests in equal monthly installments thereafter through November 8, 2028, subject to the Reporting Person's continued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Michelle Pernice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tbl>
      <w:tblPr>
        <w:tblW w:w="1932" w:type="dxa"/>
        <w:jc w:val="left"/>
        <w:tblInd w:w="0" w:type="dxa"/>
        <w:tblLayout w:type="fixed"/>
        <w:tblCellMar>
          <w:top w:w="28" w:type="dxa"/>
          <w:left w:w="28" w:type="dxa"/>
          <w:bottom w:w="28" w:type="dxa"/>
          <w:right w:w="28" w:type="dxa"/>
        </w:tblCellMar>
      </w:tblPr>
      <w:tblGrid>
        <w:gridCol w:w="161"/>
        <w:gridCol w:w="1771"/>
      </w:tblGrid>
      <w:tr>
        <w:trPr/>
        <w:tc>
          <w:tcPr>
            <w:tcW w:w="16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Michelle Pernice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Michelle Pernice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6413"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1126</Words>
  <Characters>6071</Characters>
  <CharactersWithSpaces>7136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